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DD0D" w14:textId="012901A2" w:rsidR="00BC5A00" w:rsidRPr="00407F1D" w:rsidRDefault="00AF54AA" w:rsidP="00CA50B4">
      <w:pPr>
        <w:ind w:right="3542"/>
        <w:rPr>
          <w:rFonts w:cs="Arial"/>
        </w:rPr>
      </w:pPr>
      <w:r w:rsidRPr="004F0FB7">
        <w:rPr>
          <w:rFonts w:eastAsia="Times New Roman" w:cs="Times New Roman"/>
          <w:noProof/>
        </w:rPr>
        <mc:AlternateContent>
          <mc:Choice Requires="wps">
            <w:drawing>
              <wp:anchor distT="0" distB="0" distL="114300" distR="114300" simplePos="0" relativeHeight="251659264" behindDoc="0" locked="0" layoutInCell="1" allowOverlap="1" wp14:anchorId="38C64DB9" wp14:editId="1D304499">
                <wp:simplePos x="0" y="0"/>
                <wp:positionH relativeFrom="margin">
                  <wp:align>right</wp:align>
                </wp:positionH>
                <wp:positionV relativeFrom="paragraph">
                  <wp:posOffset>-600710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28703D0E" w14:textId="77777777" w:rsidR="00AF54AA" w:rsidRDefault="00AF54AA" w:rsidP="00AF54AA">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2062440174"/>
                              <w:placeholder>
                                <w:docPart w:val="1CED0C4791F646FC8F6D4CFA1D4A9EC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Tasmania">
                                <w:listItem w:value="[HCA Department]"/>
                              </w:dropDownList>
                            </w:sdtPr>
                            <w:sdtEndPr/>
                            <w:sdtContent>
                              <w:p w14:paraId="74E30F7C" w14:textId="1B4235B7" w:rsidR="00AF54AA" w:rsidRPr="00BC5A00" w:rsidRDefault="000B0F90"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Tasmania</w:t>
                                </w:r>
                              </w:p>
                            </w:sdtContent>
                          </w:sdt>
                          <w:p w14:paraId="45D5FA3D" w14:textId="77777777" w:rsidR="00AF54AA" w:rsidRPr="00BC5A00" w:rsidRDefault="00AF54AA" w:rsidP="00AF54AA">
                            <w:pPr>
                              <w:spacing w:before="0" w:after="0"/>
                              <w:rPr>
                                <w:rFonts w:cs="Arial"/>
                                <w:color w:val="FFFFFF" w:themeColor="background1"/>
                                <w:sz w:val="18"/>
                                <w:szCs w:val="18"/>
                              </w:rPr>
                            </w:pPr>
                            <w:r>
                              <w:rPr>
                                <w:rFonts w:cs="Arial"/>
                                <w:color w:val="FFFFFF" w:themeColor="background1"/>
                                <w:sz w:val="18"/>
                                <w:szCs w:val="18"/>
                              </w:rPr>
                              <w:t>Document Owner</w:t>
                            </w:r>
                          </w:p>
                          <w:p w14:paraId="3CEDC91B" w14:textId="77777777" w:rsidR="00AF54AA" w:rsidRPr="00BC5A00" w:rsidRDefault="00AF54AA" w:rsidP="00AF54AA">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21997555A97844C8A79F88E8A0A37D5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EndPr/>
                            <w:sdtContent>
                              <w:p w14:paraId="0948ED93" w14:textId="0C2AC4AB" w:rsidR="00AF54AA" w:rsidRPr="00BC5A00" w:rsidRDefault="00AF54AA"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w:t>
                                </w:r>
                              </w:p>
                            </w:sdtContent>
                          </w:sdt>
                          <w:p w14:paraId="4DCECEEF" w14:textId="77777777" w:rsidR="00AF54AA" w:rsidRPr="00BC5A00" w:rsidRDefault="00AF54AA" w:rsidP="00AF54AA">
                            <w:pPr>
                              <w:spacing w:before="0" w:after="0"/>
                              <w:rPr>
                                <w:rFonts w:cs="Arial"/>
                                <w:color w:val="FFFFFF" w:themeColor="background1"/>
                                <w:sz w:val="18"/>
                                <w:szCs w:val="18"/>
                              </w:rPr>
                            </w:pPr>
                            <w:r>
                              <w:rPr>
                                <w:rFonts w:cs="Arial"/>
                                <w:color w:val="FFFFFF" w:themeColor="background1"/>
                                <w:sz w:val="18"/>
                                <w:szCs w:val="18"/>
                              </w:rPr>
                              <w:t>Version number</w:t>
                            </w:r>
                          </w:p>
                          <w:p w14:paraId="11E578F3" w14:textId="77777777" w:rsidR="00AF54AA" w:rsidRPr="00BC5A00" w:rsidRDefault="00AF54AA" w:rsidP="00AF54AA">
                            <w:pPr>
                              <w:spacing w:before="0" w:after="0"/>
                              <w:rPr>
                                <w:rFonts w:cs="Arial"/>
                                <w:color w:val="FFFFFF" w:themeColor="background1"/>
                                <w:sz w:val="18"/>
                                <w:szCs w:val="18"/>
                              </w:rPr>
                            </w:pPr>
                          </w:p>
                          <w:p w14:paraId="2B5DB8C0" w14:textId="77777777" w:rsidR="00AF54AA" w:rsidRPr="00BC5A00" w:rsidRDefault="00AF54AA"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5/09/2023</w:t>
                            </w:r>
                          </w:p>
                          <w:p w14:paraId="4585799D" w14:textId="01AE6DA8" w:rsidR="00AF54AA" w:rsidRPr="00BC5A00" w:rsidRDefault="00D959F3" w:rsidP="00AF54AA">
                            <w:pPr>
                              <w:spacing w:before="0" w:after="0"/>
                              <w:rPr>
                                <w:rFonts w:cs="Arial"/>
                                <w:color w:val="FFFFFF" w:themeColor="background1"/>
                                <w:sz w:val="18"/>
                                <w:szCs w:val="18"/>
                              </w:rPr>
                            </w:pPr>
                            <w:r>
                              <w:rPr>
                                <w:rFonts w:cs="Arial"/>
                                <w:color w:val="FFFFFF" w:themeColor="background1"/>
                                <w:sz w:val="18"/>
                                <w:szCs w:val="18"/>
                              </w:rPr>
                              <w:t>Next Review Date</w:t>
                            </w:r>
                          </w:p>
                          <w:p w14:paraId="2C974A09" w14:textId="77777777" w:rsidR="00AF54AA" w:rsidRPr="00BC5A00" w:rsidRDefault="00AF54AA" w:rsidP="00AF54AA">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7257385EAB9849DA9C0E8B45DE071D8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20-09-08T00:00:00Z">
                                <w:dateFormat w:val="d/MM/yyyy"/>
                                <w:lid w:val="en-AU"/>
                                <w:storeMappedDataAs w:val="dateTime"/>
                                <w:calendar w:val="gregorian"/>
                              </w:date>
                            </w:sdtPr>
                            <w:sdtEndPr/>
                            <w:sdtContent>
                              <w:p w14:paraId="4300187B" w14:textId="4549CE1C" w:rsidR="00AF54AA" w:rsidRPr="00BC5A00" w:rsidRDefault="007D1D01"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8/09/2020</w:t>
                                </w:r>
                              </w:p>
                            </w:sdtContent>
                          </w:sdt>
                          <w:p w14:paraId="75B7FF05" w14:textId="1BB17949" w:rsidR="00AF54AA" w:rsidRDefault="00C9104D" w:rsidP="00AF54AA">
                            <w:pPr>
                              <w:spacing w:before="0" w:after="0"/>
                              <w:rPr>
                                <w:rFonts w:cs="Arial"/>
                                <w:color w:val="FFFFFF" w:themeColor="background1"/>
                                <w:sz w:val="18"/>
                                <w:szCs w:val="18"/>
                              </w:rPr>
                            </w:pPr>
                            <w:r>
                              <w:rPr>
                                <w:rFonts w:cs="Arial"/>
                                <w:color w:val="FFFFFF" w:themeColor="background1"/>
                                <w:sz w:val="18"/>
                                <w:szCs w:val="18"/>
                              </w:rPr>
                              <w:t>Date Published</w:t>
                            </w:r>
                          </w:p>
                          <w:p w14:paraId="2EBF68F0" w14:textId="77777777" w:rsidR="00AF54AA" w:rsidRDefault="00AF54AA" w:rsidP="00AF54AA">
                            <w:pPr>
                              <w:spacing w:before="0" w:after="0"/>
                              <w:rPr>
                                <w:rFonts w:cs="Arial"/>
                                <w:color w:val="FFFFFF" w:themeColor="background1"/>
                                <w:sz w:val="18"/>
                                <w:szCs w:val="18"/>
                              </w:rPr>
                            </w:pPr>
                          </w:p>
                          <w:p w14:paraId="00299E6D" w14:textId="77777777" w:rsidR="00AF54AA" w:rsidRPr="00BC5A00" w:rsidRDefault="00AF54AA" w:rsidP="00AF54AA">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57AF69E7" w14:textId="77777777" w:rsidR="00AF54AA" w:rsidRDefault="00AF54AA" w:rsidP="00AF54AA">
                            <w:pPr>
                              <w:spacing w:before="0"/>
                              <w:rPr>
                                <w:rFonts w:cs="Arial"/>
                                <w:color w:val="FFFFFF" w:themeColor="background1"/>
                                <w:sz w:val="18"/>
                                <w:szCs w:val="18"/>
                              </w:rPr>
                            </w:pPr>
                            <w:r>
                              <w:rPr>
                                <w:rFonts w:cs="Arial"/>
                                <w:color w:val="FFFFFF" w:themeColor="background1"/>
                                <w:sz w:val="18"/>
                                <w:szCs w:val="18"/>
                              </w:rPr>
                              <w:t>Review Period</w:t>
                            </w:r>
                          </w:p>
                          <w:p w14:paraId="04C1BC73" w14:textId="3B74E2FC" w:rsidR="00F77834" w:rsidRPr="00764BB4" w:rsidRDefault="00F77834" w:rsidP="00AF54AA">
                            <w:pPr>
                              <w:spacing w:before="0"/>
                              <w:rPr>
                                <w:rFonts w:cs="Arial"/>
                                <w:color w:val="FFFFFF" w:themeColor="background1"/>
                                <w:sz w:val="18"/>
                                <w:szCs w:val="18"/>
                              </w:rPr>
                            </w:pPr>
                            <w:r>
                              <w:rPr>
                                <w:rFonts w:cs="Arial"/>
                                <w:color w:val="FFFFFF" w:themeColor="background1"/>
                                <w:sz w:val="18"/>
                                <w:szCs w:val="18"/>
                              </w:rPr>
                              <w:t xml:space="preserve">Current as at: </w:t>
                            </w:r>
                            <w:r w:rsidR="00343719">
                              <w:rPr>
                                <w:rFonts w:cs="Arial"/>
                                <w:color w:val="FFFFFF" w:themeColor="background1"/>
                                <w:sz w:val="18"/>
                                <w:szCs w:val="18"/>
                              </w:rPr>
                              <w:fldChar w:fldCharType="begin"/>
                            </w:r>
                            <w:r w:rsidR="00343719">
                              <w:rPr>
                                <w:rFonts w:cs="Arial"/>
                                <w:color w:val="FFFFFF" w:themeColor="background1"/>
                                <w:sz w:val="18"/>
                                <w:szCs w:val="18"/>
                              </w:rPr>
                              <w:instrText xml:space="preserve"> DATE \@ "dd/MM/yyyy" </w:instrText>
                            </w:r>
                            <w:r w:rsidR="00343719">
                              <w:rPr>
                                <w:rFonts w:cs="Arial"/>
                                <w:color w:val="FFFFFF" w:themeColor="background1"/>
                                <w:sz w:val="18"/>
                                <w:szCs w:val="18"/>
                              </w:rPr>
                              <w:fldChar w:fldCharType="separate"/>
                            </w:r>
                            <w:r w:rsidR="00D257E8">
                              <w:rPr>
                                <w:rFonts w:cs="Arial"/>
                                <w:noProof/>
                                <w:color w:val="FFFFFF" w:themeColor="background1"/>
                                <w:sz w:val="18"/>
                                <w:szCs w:val="18"/>
                              </w:rPr>
                              <w:t>05/08/2022</w:t>
                            </w:r>
                            <w:r w:rsidR="00343719">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64DB9" id="_x0000_t202" coordsize="21600,21600" o:spt="202" path="m,l,21600r21600,l21600,xe">
                <v:stroke joinstyle="miter"/>
                <v:path gradientshapeok="t" o:connecttype="rect"/>
              </v:shapetype>
              <v:shape id="Text Box 1" o:spid="_x0000_s1026" type="#_x0000_t202" style="position:absolute;margin-left:85.85pt;margin-top:-47.3pt;width:137.05pt;height:21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3JAIAAEY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" filled="f" stroked="f" strokeweight=".5pt">
                <v:textbox>
                  <w:txbxContent>
                    <w:p w14:paraId="28703D0E" w14:textId="77777777" w:rsidR="00AF54AA" w:rsidRDefault="00AF54AA" w:rsidP="00AF54AA">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2062440174"/>
                        <w:placeholder>
                          <w:docPart w:val="1CED0C4791F646FC8F6D4CFA1D4A9EC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FDE3E7E2-6700-438B-80DF-F4EEDE31FDAF}"/>
                        <w:dropDownList w:lastValue="Operations Tasmania">
                          <w:listItem w:value="[HCA Department]"/>
                        </w:dropDownList>
                      </w:sdtPr>
                      <w:sdtEndPr/>
                      <w:sdtContent>
                        <w:p w14:paraId="74E30F7C" w14:textId="1B4235B7" w:rsidR="00AF54AA" w:rsidRPr="00BC5A00" w:rsidRDefault="000B0F90"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Tasmania</w:t>
                          </w:r>
                        </w:p>
                      </w:sdtContent>
                    </w:sdt>
                    <w:p w14:paraId="45D5FA3D" w14:textId="77777777" w:rsidR="00AF54AA" w:rsidRPr="00BC5A00" w:rsidRDefault="00AF54AA" w:rsidP="00AF54AA">
                      <w:pPr>
                        <w:spacing w:before="0" w:after="0"/>
                        <w:rPr>
                          <w:rFonts w:cs="Arial"/>
                          <w:color w:val="FFFFFF" w:themeColor="background1"/>
                          <w:sz w:val="18"/>
                          <w:szCs w:val="18"/>
                        </w:rPr>
                      </w:pPr>
                      <w:r>
                        <w:rPr>
                          <w:rFonts w:cs="Arial"/>
                          <w:color w:val="FFFFFF" w:themeColor="background1"/>
                          <w:sz w:val="18"/>
                          <w:szCs w:val="18"/>
                        </w:rPr>
                        <w:t>Document Owner</w:t>
                      </w:r>
                    </w:p>
                    <w:p w14:paraId="3CEDC91B" w14:textId="77777777" w:rsidR="00AF54AA" w:rsidRPr="00BC5A00" w:rsidRDefault="00AF54AA" w:rsidP="00AF54AA">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21997555A97844C8A79F88E8A0A37D58"/>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FDE3E7E2-6700-438B-80DF-F4EEDE31FDAF}"/>
                        <w:text/>
                      </w:sdtPr>
                      <w:sdtEndPr/>
                      <w:sdtContent>
                        <w:p w14:paraId="0948ED93" w14:textId="0C2AC4AB" w:rsidR="00AF54AA" w:rsidRPr="00BC5A00" w:rsidRDefault="00AF54AA"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w:t>
                          </w:r>
                        </w:p>
                      </w:sdtContent>
                    </w:sdt>
                    <w:p w14:paraId="4DCECEEF" w14:textId="77777777" w:rsidR="00AF54AA" w:rsidRPr="00BC5A00" w:rsidRDefault="00AF54AA" w:rsidP="00AF54AA">
                      <w:pPr>
                        <w:spacing w:before="0" w:after="0"/>
                        <w:rPr>
                          <w:rFonts w:cs="Arial"/>
                          <w:color w:val="FFFFFF" w:themeColor="background1"/>
                          <w:sz w:val="18"/>
                          <w:szCs w:val="18"/>
                        </w:rPr>
                      </w:pPr>
                      <w:r>
                        <w:rPr>
                          <w:rFonts w:cs="Arial"/>
                          <w:color w:val="FFFFFF" w:themeColor="background1"/>
                          <w:sz w:val="18"/>
                          <w:szCs w:val="18"/>
                        </w:rPr>
                        <w:t>Version number</w:t>
                      </w:r>
                    </w:p>
                    <w:p w14:paraId="11E578F3" w14:textId="77777777" w:rsidR="00AF54AA" w:rsidRPr="00BC5A00" w:rsidRDefault="00AF54AA" w:rsidP="00AF54AA">
                      <w:pPr>
                        <w:spacing w:before="0" w:after="0"/>
                        <w:rPr>
                          <w:rFonts w:cs="Arial"/>
                          <w:color w:val="FFFFFF" w:themeColor="background1"/>
                          <w:sz w:val="18"/>
                          <w:szCs w:val="18"/>
                        </w:rPr>
                      </w:pPr>
                    </w:p>
                    <w:p w14:paraId="2B5DB8C0" w14:textId="77777777" w:rsidR="00AF54AA" w:rsidRPr="00BC5A00" w:rsidRDefault="00AF54AA"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5/09/2023</w:t>
                      </w:r>
                    </w:p>
                    <w:p w14:paraId="4585799D" w14:textId="01AE6DA8" w:rsidR="00AF54AA" w:rsidRPr="00BC5A00" w:rsidRDefault="00D959F3" w:rsidP="00AF54AA">
                      <w:pPr>
                        <w:spacing w:before="0" w:after="0"/>
                        <w:rPr>
                          <w:rFonts w:cs="Arial"/>
                          <w:color w:val="FFFFFF" w:themeColor="background1"/>
                          <w:sz w:val="18"/>
                          <w:szCs w:val="18"/>
                        </w:rPr>
                      </w:pPr>
                      <w:r>
                        <w:rPr>
                          <w:rFonts w:cs="Arial"/>
                          <w:color w:val="FFFFFF" w:themeColor="background1"/>
                          <w:sz w:val="18"/>
                          <w:szCs w:val="18"/>
                        </w:rPr>
                        <w:t>Next Review Date</w:t>
                      </w:r>
                    </w:p>
                    <w:p w14:paraId="2C974A09" w14:textId="77777777" w:rsidR="00AF54AA" w:rsidRPr="00BC5A00" w:rsidRDefault="00AF54AA" w:rsidP="00AF54AA">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7257385EAB9849DA9C0E8B45DE071D82"/>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FDE3E7E2-6700-438B-80DF-F4EEDE31FDAF}"/>
                        <w:date w:fullDate="2020-09-08T00:00:00Z">
                          <w:dateFormat w:val="d/MM/yyyy"/>
                          <w:lid w:val="en-AU"/>
                          <w:storeMappedDataAs w:val="dateTime"/>
                          <w:calendar w:val="gregorian"/>
                        </w:date>
                      </w:sdtPr>
                      <w:sdtEndPr/>
                      <w:sdtContent>
                        <w:p w14:paraId="4300187B" w14:textId="4549CE1C" w:rsidR="00AF54AA" w:rsidRPr="00BC5A00" w:rsidRDefault="007D1D01" w:rsidP="00AF54AA">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8/09/2020</w:t>
                          </w:r>
                        </w:p>
                      </w:sdtContent>
                    </w:sdt>
                    <w:p w14:paraId="75B7FF05" w14:textId="1BB17949" w:rsidR="00AF54AA" w:rsidRDefault="00C9104D" w:rsidP="00AF54AA">
                      <w:pPr>
                        <w:spacing w:before="0" w:after="0"/>
                        <w:rPr>
                          <w:rFonts w:cs="Arial"/>
                          <w:color w:val="FFFFFF" w:themeColor="background1"/>
                          <w:sz w:val="18"/>
                          <w:szCs w:val="18"/>
                        </w:rPr>
                      </w:pPr>
                      <w:r>
                        <w:rPr>
                          <w:rFonts w:cs="Arial"/>
                          <w:color w:val="FFFFFF" w:themeColor="background1"/>
                          <w:sz w:val="18"/>
                          <w:szCs w:val="18"/>
                        </w:rPr>
                        <w:t>Date Published</w:t>
                      </w:r>
                    </w:p>
                    <w:p w14:paraId="2EBF68F0" w14:textId="77777777" w:rsidR="00AF54AA" w:rsidRDefault="00AF54AA" w:rsidP="00AF54AA">
                      <w:pPr>
                        <w:spacing w:before="0" w:after="0"/>
                        <w:rPr>
                          <w:rFonts w:cs="Arial"/>
                          <w:color w:val="FFFFFF" w:themeColor="background1"/>
                          <w:sz w:val="18"/>
                          <w:szCs w:val="18"/>
                        </w:rPr>
                      </w:pPr>
                    </w:p>
                    <w:p w14:paraId="00299E6D" w14:textId="77777777" w:rsidR="00AF54AA" w:rsidRPr="00BC5A00" w:rsidRDefault="00AF54AA" w:rsidP="00AF54AA">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57AF69E7" w14:textId="77777777" w:rsidR="00AF54AA" w:rsidRDefault="00AF54AA" w:rsidP="00AF54AA">
                      <w:pPr>
                        <w:spacing w:before="0"/>
                        <w:rPr>
                          <w:rFonts w:cs="Arial"/>
                          <w:color w:val="FFFFFF" w:themeColor="background1"/>
                          <w:sz w:val="18"/>
                          <w:szCs w:val="18"/>
                        </w:rPr>
                      </w:pPr>
                      <w:r>
                        <w:rPr>
                          <w:rFonts w:cs="Arial"/>
                          <w:color w:val="FFFFFF" w:themeColor="background1"/>
                          <w:sz w:val="18"/>
                          <w:szCs w:val="18"/>
                        </w:rPr>
                        <w:t>Review Period</w:t>
                      </w:r>
                    </w:p>
                    <w:p w14:paraId="04C1BC73" w14:textId="3B74E2FC" w:rsidR="00F77834" w:rsidRPr="00764BB4" w:rsidRDefault="00F77834" w:rsidP="00AF54AA">
                      <w:pPr>
                        <w:spacing w:before="0"/>
                        <w:rPr>
                          <w:rFonts w:cs="Arial"/>
                          <w:color w:val="FFFFFF" w:themeColor="background1"/>
                          <w:sz w:val="18"/>
                          <w:szCs w:val="18"/>
                        </w:rPr>
                      </w:pPr>
                      <w:r>
                        <w:rPr>
                          <w:rFonts w:cs="Arial"/>
                          <w:color w:val="FFFFFF" w:themeColor="background1"/>
                          <w:sz w:val="18"/>
                          <w:szCs w:val="18"/>
                        </w:rPr>
                        <w:t xml:space="preserve">Current as at: </w:t>
                      </w:r>
                      <w:r w:rsidR="00343719">
                        <w:rPr>
                          <w:rFonts w:cs="Arial"/>
                          <w:color w:val="FFFFFF" w:themeColor="background1"/>
                          <w:sz w:val="18"/>
                          <w:szCs w:val="18"/>
                        </w:rPr>
                        <w:fldChar w:fldCharType="begin"/>
                      </w:r>
                      <w:r w:rsidR="00343719">
                        <w:rPr>
                          <w:rFonts w:cs="Arial"/>
                          <w:color w:val="FFFFFF" w:themeColor="background1"/>
                          <w:sz w:val="18"/>
                          <w:szCs w:val="18"/>
                        </w:rPr>
                        <w:instrText xml:space="preserve"> DATE \@ "dd/MM/yyyy" </w:instrText>
                      </w:r>
                      <w:r w:rsidR="00343719">
                        <w:rPr>
                          <w:rFonts w:cs="Arial"/>
                          <w:color w:val="FFFFFF" w:themeColor="background1"/>
                          <w:sz w:val="18"/>
                          <w:szCs w:val="18"/>
                        </w:rPr>
                        <w:fldChar w:fldCharType="separate"/>
                      </w:r>
                      <w:r w:rsidR="00D257E8">
                        <w:rPr>
                          <w:rFonts w:cs="Arial"/>
                          <w:noProof/>
                          <w:color w:val="FFFFFF" w:themeColor="background1"/>
                          <w:sz w:val="18"/>
                          <w:szCs w:val="18"/>
                        </w:rPr>
                        <w:t>05/08/2022</w:t>
                      </w:r>
                      <w:r w:rsidR="00343719">
                        <w:rPr>
                          <w:rFonts w:cs="Arial"/>
                          <w:color w:val="FFFFFF" w:themeColor="background1"/>
                          <w:sz w:val="18"/>
                          <w:szCs w:val="18"/>
                        </w:rPr>
                        <w:fldChar w:fldCharType="end"/>
                      </w:r>
                    </w:p>
                  </w:txbxContent>
                </v:textbox>
                <w10:wrap anchorx="margin"/>
              </v:shape>
            </w:pict>
          </mc:Fallback>
        </mc:AlternateContent>
      </w:r>
      <w:r w:rsidR="00F059CD">
        <w:rPr>
          <w:rFonts w:cs="Arial"/>
          <w:b/>
          <w:bCs/>
          <w:noProof/>
          <w:color w:val="FFFFFF" w:themeColor="background1"/>
          <w:sz w:val="48"/>
          <w:szCs w:val="48"/>
        </w:rPr>
        <w:t xml:space="preserve">Rent </w:t>
      </w:r>
      <w:r w:rsidR="006A6119">
        <w:rPr>
          <w:rFonts w:cs="Arial"/>
          <w:b/>
          <w:bCs/>
          <w:noProof/>
          <w:color w:val="FFFFFF" w:themeColor="background1"/>
          <w:sz w:val="48"/>
          <w:szCs w:val="48"/>
        </w:rPr>
        <w:t>Setting</w:t>
      </w:r>
      <w:r w:rsidR="00BC5A00" w:rsidRPr="00407F1D">
        <w:rPr>
          <w:rStyle w:val="TitleChar"/>
        </w:rPr>
        <w:t xml:space="preserve"> Policy</w:t>
      </w:r>
    </w:p>
    <w:p w14:paraId="19F00980" w14:textId="7C91D1C2" w:rsidR="00CA50B4" w:rsidRPr="00407F1D" w:rsidRDefault="00CA50B4">
      <w:pPr>
        <w:rPr>
          <w:rFonts w:cs="Arial"/>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2AB5F42B" w:rsidR="00BC5A00" w:rsidRDefault="00BC5A00">
      <w:pPr>
        <w:rPr>
          <w:rFonts w:cs="Arial"/>
        </w:rPr>
      </w:pPr>
    </w:p>
    <w:p w14:paraId="2164E965" w14:textId="77777777" w:rsidR="00E2269C" w:rsidRPr="00407F1D" w:rsidRDefault="00E2269C">
      <w:pPr>
        <w:rPr>
          <w:rFonts w:cs="Arial"/>
        </w:rPr>
      </w:pPr>
    </w:p>
    <w:p w14:paraId="47D61B0D" w14:textId="77777777" w:rsidR="003873DC" w:rsidRPr="00407F1D" w:rsidRDefault="003873DC">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33FC6D0B" w14:textId="77777777" w:rsidR="00915D54" w:rsidRDefault="00915D54" w:rsidP="009020A4">
      <w:pPr>
        <w:pStyle w:val="Heading1"/>
      </w:pPr>
      <w:r>
        <w:t>Purpose</w:t>
      </w:r>
    </w:p>
    <w:p w14:paraId="4EB2CEF2" w14:textId="4C0CC057" w:rsidR="006A6119" w:rsidRPr="006A6119" w:rsidRDefault="006A6119" w:rsidP="006A6119">
      <w:pPr>
        <w:widowControl w:val="0"/>
        <w:ind w:right="282"/>
        <w:rPr>
          <w:rFonts w:eastAsia="Arial" w:cs="Arial"/>
          <w:szCs w:val="22"/>
          <w:lang w:val="en-US"/>
        </w:rPr>
      </w:pPr>
      <w:r w:rsidRPr="006A6119">
        <w:rPr>
          <w:color w:val="000000"/>
          <w:szCs w:val="22"/>
        </w:rPr>
        <w:t xml:space="preserve">To outline how HCT calculates rent for all social housing properties; pertaining to all tenants and their </w:t>
      </w:r>
      <w:r w:rsidR="00C92277" w:rsidRPr="006A6119">
        <w:rPr>
          <w:color w:val="000000"/>
          <w:szCs w:val="22"/>
        </w:rPr>
        <w:t>assessable</w:t>
      </w:r>
      <w:r w:rsidRPr="006A6119">
        <w:rPr>
          <w:color w:val="000000"/>
          <w:szCs w:val="22"/>
        </w:rPr>
        <w:t xml:space="preserve"> household income</w:t>
      </w:r>
      <w:r>
        <w:rPr>
          <w:color w:val="000000"/>
          <w:szCs w:val="22"/>
        </w:rPr>
        <w:t>.</w:t>
      </w:r>
    </w:p>
    <w:p w14:paraId="66CCD3B9" w14:textId="77777777" w:rsidR="00915D54" w:rsidRDefault="00915D54" w:rsidP="00915D54">
      <w:pPr>
        <w:pStyle w:val="Heading1"/>
      </w:pPr>
      <w:r>
        <w:t>Scope</w:t>
      </w:r>
    </w:p>
    <w:p w14:paraId="6A454EF1" w14:textId="77777777" w:rsidR="00F059CD" w:rsidRPr="00407F1D" w:rsidRDefault="00F059CD" w:rsidP="00F059CD">
      <w:pPr>
        <w:spacing w:after="120"/>
        <w:rPr>
          <w:rFonts w:cs="Arial"/>
          <w:noProof/>
          <w:szCs w:val="22"/>
        </w:rPr>
      </w:pPr>
      <w:r w:rsidRPr="00407F1D">
        <w:rPr>
          <w:rFonts w:cs="Arial"/>
          <w:szCs w:val="22"/>
        </w:rPr>
        <w:t>This policy applies to the following entities within the Housing Choices Australia Group:</w:t>
      </w:r>
      <w:r w:rsidRPr="00407F1D">
        <w:rPr>
          <w:rFonts w:cs="Arial"/>
          <w:noProof/>
          <w:szCs w:val="22"/>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1783"/>
        <w:gridCol w:w="1783"/>
      </w:tblGrid>
      <w:tr w:rsidR="00915D54" w14:paraId="2EC05B81" w14:textId="77777777" w:rsidTr="00915D54">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82" w:type="dxa"/>
            <w:tcBorders>
              <w:top w:val="nil"/>
              <w:left w:val="nil"/>
              <w:bottom w:val="single" w:sz="4" w:space="0" w:color="082E42"/>
              <w:right w:val="nil"/>
            </w:tcBorders>
            <w:vAlign w:val="center"/>
            <w:hideMark/>
          </w:tcPr>
          <w:p w14:paraId="49B6F8DF" w14:textId="77777777" w:rsidR="00915D54" w:rsidRDefault="00915D54">
            <w:pPr>
              <w:keepLines w:val="0"/>
              <w:rPr>
                <w:b/>
                <w:szCs w:val="22"/>
              </w:rPr>
            </w:pPr>
            <w:bookmarkStart w:id="0" w:name="_Hlk530135771"/>
            <w:r>
              <w:rPr>
                <w:b/>
                <w:szCs w:val="22"/>
              </w:rPr>
              <w:t>Organisation</w:t>
            </w:r>
          </w:p>
        </w:tc>
        <w:tc>
          <w:tcPr>
            <w:tcW w:w="1783" w:type="dxa"/>
            <w:tcBorders>
              <w:top w:val="nil"/>
              <w:left w:val="nil"/>
              <w:bottom w:val="single" w:sz="4" w:space="0" w:color="082E42"/>
              <w:right w:val="nil"/>
            </w:tcBorders>
            <w:hideMark/>
          </w:tcPr>
          <w:p w14:paraId="0B767069" w14:textId="77777777" w:rsidR="00915D54" w:rsidRDefault="00915D54">
            <w:pPr>
              <w:keepLines w:val="0"/>
              <w:cnfStyle w:val="100000000000" w:firstRow="1" w:lastRow="0" w:firstColumn="0" w:lastColumn="0" w:oddVBand="0" w:evenVBand="0" w:oddHBand="0" w:evenHBand="0" w:firstRowFirstColumn="0" w:firstRowLastColumn="0" w:lastRowFirstColumn="0" w:lastRowLastColumn="0"/>
              <w:rPr>
                <w:b/>
                <w:szCs w:val="22"/>
              </w:rPr>
            </w:pPr>
            <w:r>
              <w:rPr>
                <w:b/>
                <w:szCs w:val="22"/>
              </w:rPr>
              <w:t>Abbreviation</w:t>
            </w:r>
          </w:p>
        </w:tc>
        <w:tc>
          <w:tcPr>
            <w:tcW w:w="1783" w:type="dxa"/>
            <w:tcBorders>
              <w:top w:val="nil"/>
              <w:left w:val="nil"/>
              <w:bottom w:val="single" w:sz="4" w:space="0" w:color="082E42"/>
              <w:right w:val="nil"/>
            </w:tcBorders>
            <w:hideMark/>
          </w:tcPr>
          <w:p w14:paraId="59C3271D" w14:textId="77777777" w:rsidR="00915D54" w:rsidRDefault="00915D54">
            <w:pPr>
              <w:keepLines w:val="0"/>
              <w:cnfStyle w:val="100000000000" w:firstRow="1" w:lastRow="0" w:firstColumn="0" w:lastColumn="0" w:oddVBand="0" w:evenVBand="0" w:oddHBand="0" w:evenHBand="0" w:firstRowFirstColumn="0" w:firstRowLastColumn="0" w:lastRowFirstColumn="0" w:lastRowLastColumn="0"/>
              <w:rPr>
                <w:b/>
                <w:szCs w:val="22"/>
              </w:rPr>
            </w:pPr>
            <w:r>
              <w:rPr>
                <w:b/>
                <w:szCs w:val="22"/>
              </w:rPr>
              <w:t>ACN</w:t>
            </w:r>
          </w:p>
        </w:tc>
      </w:tr>
      <w:tr w:rsidR="00915D54" w14:paraId="673D21D9" w14:textId="77777777" w:rsidTr="00F059CD">
        <w:trPr>
          <w:trHeight w:hRule="exact" w:val="548"/>
        </w:trPr>
        <w:tc>
          <w:tcPr>
            <w:cnfStyle w:val="001000000000" w:firstRow="0" w:lastRow="0" w:firstColumn="1" w:lastColumn="0" w:oddVBand="0" w:evenVBand="0" w:oddHBand="0" w:evenHBand="0" w:firstRowFirstColumn="0" w:firstRowLastColumn="0" w:lastRowFirstColumn="0" w:lastRowLastColumn="0"/>
            <w:tcW w:w="4282" w:type="dxa"/>
            <w:vAlign w:val="center"/>
            <w:hideMark/>
          </w:tcPr>
          <w:p w14:paraId="248320C8" w14:textId="5C5B39DF" w:rsidR="00915D54" w:rsidRDefault="00915D54" w:rsidP="00F059CD">
            <w:pPr>
              <w:spacing w:before="60" w:after="60"/>
              <w:jc w:val="center"/>
              <w:rPr>
                <w:szCs w:val="22"/>
              </w:rPr>
            </w:pPr>
            <w:r>
              <w:rPr>
                <w:szCs w:val="22"/>
              </w:rPr>
              <w:t>Housing Choices Tasmania Limited</w:t>
            </w:r>
          </w:p>
        </w:tc>
        <w:tc>
          <w:tcPr>
            <w:tcW w:w="1783" w:type="dxa"/>
            <w:vAlign w:val="center"/>
            <w:hideMark/>
          </w:tcPr>
          <w:p w14:paraId="558D65FB" w14:textId="77777777" w:rsidR="00915D54" w:rsidRDefault="00915D54" w:rsidP="00F059CD">
            <w:pPr>
              <w:keepLines w:val="0"/>
              <w:jc w:val="cente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HCTL</w:t>
            </w:r>
          </w:p>
        </w:tc>
        <w:tc>
          <w:tcPr>
            <w:tcW w:w="1783" w:type="dxa"/>
            <w:vAlign w:val="center"/>
            <w:hideMark/>
          </w:tcPr>
          <w:p w14:paraId="2C8E3968" w14:textId="77777777" w:rsidR="00915D54" w:rsidRDefault="00915D54" w:rsidP="00F059CD">
            <w:pPr>
              <w:keepLines w:val="0"/>
              <w:jc w:val="center"/>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147 840 202</w:t>
            </w:r>
          </w:p>
        </w:tc>
        <w:bookmarkEnd w:id="0"/>
      </w:tr>
    </w:tbl>
    <w:p w14:paraId="759FDD43" w14:textId="46D7824F" w:rsidR="00915D54" w:rsidRDefault="00F059CD" w:rsidP="00915D54">
      <w:pPr>
        <w:pStyle w:val="Heading1"/>
      </w:pPr>
      <w:r>
        <w:t>Scheduled Review</w:t>
      </w:r>
    </w:p>
    <w:p w14:paraId="6474404C" w14:textId="4F94F01C" w:rsidR="006A6119" w:rsidRPr="006A6119" w:rsidRDefault="006A6119" w:rsidP="006A6119">
      <w:pPr>
        <w:ind w:right="282"/>
        <w:rPr>
          <w:rFonts w:cs="Arial"/>
          <w:b/>
          <w:bCs/>
          <w:color w:val="082E42"/>
          <w:szCs w:val="22"/>
        </w:rPr>
      </w:pPr>
      <w:r>
        <w:rPr>
          <w:rFonts w:cs="Arial"/>
        </w:rPr>
        <w:t>General Manager Housing Services Manager Tasmania is responsible for reviewing this policy</w:t>
      </w:r>
      <w:r>
        <w:rPr>
          <w:rFonts w:cs="Arial"/>
          <w:b/>
          <w:bCs/>
          <w:color w:val="082E42"/>
          <w:szCs w:val="22"/>
        </w:rPr>
        <w:t>.</w:t>
      </w:r>
    </w:p>
    <w:p w14:paraId="7E2CE138" w14:textId="77777777" w:rsidR="00915D54" w:rsidRDefault="5B473210" w:rsidP="00915D54">
      <w:pPr>
        <w:pStyle w:val="Heading1"/>
      </w:pPr>
      <w:r>
        <w:t>Policy Statement</w:t>
      </w:r>
    </w:p>
    <w:p w14:paraId="2AD6329C" w14:textId="28889D4E" w:rsidR="1057F717" w:rsidRDefault="1057F717" w:rsidP="5EBAAD4B">
      <w:pPr>
        <w:spacing w:line="276" w:lineRule="auto"/>
      </w:pPr>
      <w:r w:rsidRPr="5EBAAD4B">
        <w:rPr>
          <w:rFonts w:eastAsia="Arial" w:cs="Arial"/>
          <w:sz w:val="24"/>
        </w:rPr>
        <w:t xml:space="preserve">HCT </w:t>
      </w:r>
      <w:r w:rsidRPr="5EBAAD4B">
        <w:rPr>
          <w:rFonts w:eastAsia="Arial" w:cs="Arial"/>
          <w:szCs w:val="22"/>
        </w:rPr>
        <w:t>is committed to providing housing that is affordable for our residents.</w:t>
      </w:r>
    </w:p>
    <w:p w14:paraId="401B8182" w14:textId="7DE37E06" w:rsidR="1057F717" w:rsidRDefault="1057F717" w:rsidP="5EBAAD4B">
      <w:pPr>
        <w:spacing w:line="276" w:lineRule="auto"/>
      </w:pPr>
      <w:r w:rsidRPr="5EBAAD4B">
        <w:rPr>
          <w:rFonts w:eastAsia="Arial" w:cs="Arial"/>
          <w:sz w:val="24"/>
        </w:rPr>
        <w:t xml:space="preserve">HCT </w:t>
      </w:r>
      <w:r w:rsidRPr="5EBAAD4B">
        <w:rPr>
          <w:rFonts w:eastAsia="Arial" w:cs="Arial"/>
          <w:szCs w:val="22"/>
        </w:rPr>
        <w:t>charges its residents a tenant contribution towards the rent. The tenant contribution is determined in line with our funding and contractual obligations and other legislative frameworks relating to maximum allowable rental charges.</w:t>
      </w:r>
    </w:p>
    <w:p w14:paraId="41E7C188" w14:textId="1D0B73AB" w:rsidR="1057F717" w:rsidRDefault="1057F717" w:rsidP="5EBAAD4B">
      <w:pPr>
        <w:spacing w:line="276" w:lineRule="auto"/>
      </w:pPr>
      <w:r w:rsidRPr="5EBAAD4B">
        <w:rPr>
          <w:rFonts w:eastAsia="Arial" w:cs="Arial"/>
          <w:szCs w:val="22"/>
        </w:rPr>
        <w:t>In general, and for the purposes of this Policy, tenant contributions should not exceed 25% of income plus 100% of Commonwealth Rent Assistance (CRA) or 75% of Market Rent.</w:t>
      </w:r>
    </w:p>
    <w:p w14:paraId="27E5A959" w14:textId="732291F4" w:rsidR="1057F717" w:rsidRDefault="1057F717" w:rsidP="5EBAAD4B">
      <w:pPr>
        <w:rPr>
          <w:rFonts w:eastAsia="Calibri"/>
          <w:szCs w:val="22"/>
        </w:rPr>
      </w:pPr>
      <w:r w:rsidRPr="5EBAAD4B">
        <w:rPr>
          <w:rFonts w:eastAsia="Arial" w:cs="Arial"/>
          <w:szCs w:val="22"/>
        </w:rPr>
        <w:t>For specific Program information please contact Housing Choices Tasmania</w:t>
      </w:r>
    </w:p>
    <w:p w14:paraId="4DF21F25" w14:textId="77777777" w:rsidR="006A6119" w:rsidRDefault="4737C631" w:rsidP="00C92277">
      <w:pPr>
        <w:pStyle w:val="Heading2"/>
      </w:pPr>
      <w:r>
        <w:t>Rent Setting</w:t>
      </w:r>
    </w:p>
    <w:p w14:paraId="3F9ED4DE" w14:textId="569EC953" w:rsidR="708709FE" w:rsidRDefault="708709FE" w:rsidP="5EBAAD4B">
      <w:pPr>
        <w:tabs>
          <w:tab w:val="left" w:pos="8925"/>
        </w:tabs>
        <w:spacing w:line="276" w:lineRule="auto"/>
      </w:pPr>
      <w:r w:rsidRPr="5EBAAD4B">
        <w:rPr>
          <w:rFonts w:eastAsia="Arial" w:cs="Arial"/>
          <w:szCs w:val="22"/>
        </w:rPr>
        <w:t>Rent setting is undertaken in line with individual programs and funding requirements, for example general social housing or the National Rental Assistance Scheme, (NRAS). This information will be provided to the Applicant upon making the housing offer. Housing Choices Tasmania staff will follow the detailed Rent Setting Procedure which accompanies this Policy.</w:t>
      </w:r>
    </w:p>
    <w:p w14:paraId="6EDB2C22" w14:textId="7C2FF3CD" w:rsidR="708709FE" w:rsidRDefault="708709FE" w:rsidP="5EBAAD4B">
      <w:pPr>
        <w:spacing w:line="276" w:lineRule="auto"/>
        <w:jc w:val="both"/>
      </w:pPr>
      <w:r w:rsidRPr="5EBAAD4B">
        <w:rPr>
          <w:rFonts w:eastAsia="Arial" w:cs="Arial"/>
          <w:sz w:val="24"/>
        </w:rPr>
        <w:lastRenderedPageBreak/>
        <w:t xml:space="preserve">HCT </w:t>
      </w:r>
      <w:r w:rsidRPr="5EBAAD4B">
        <w:rPr>
          <w:rFonts w:eastAsia="Arial" w:cs="Arial"/>
          <w:color w:val="000000" w:themeColor="text1"/>
          <w:szCs w:val="22"/>
        </w:rPr>
        <w:t xml:space="preserve">uses the existing market rent to determine the threshold for all properties. The market rent is the rent that would be charged for the property if it were to be leased in the private rental market.  It is based on independent property valuations and/or benchmark data obtained from the Australian Tax Office. </w:t>
      </w:r>
    </w:p>
    <w:p w14:paraId="7F51CA88" w14:textId="3CC0C2BA" w:rsidR="708709FE" w:rsidRDefault="708709FE" w:rsidP="5EBAAD4B">
      <w:pPr>
        <w:spacing w:line="276" w:lineRule="auto"/>
      </w:pPr>
      <w:r w:rsidRPr="5EBAAD4B">
        <w:rPr>
          <w:rFonts w:eastAsia="Arial" w:cs="Arial"/>
          <w:color w:val="000000" w:themeColor="text1"/>
          <w:szCs w:val="22"/>
        </w:rPr>
        <w:t>The tenant contribution paid by residents is based on a calculation of the total assessable household income of all household members but cannot exceed 75% of the market rent for the property.</w:t>
      </w:r>
    </w:p>
    <w:p w14:paraId="5B4D37F2" w14:textId="7778A5ED" w:rsidR="708709FE" w:rsidRDefault="708709FE" w:rsidP="5EBAAD4B">
      <w:pPr>
        <w:spacing w:line="276" w:lineRule="auto"/>
      </w:pPr>
      <w:r w:rsidRPr="5EBAAD4B">
        <w:rPr>
          <w:rFonts w:eastAsia="Arial" w:cs="Arial"/>
          <w:color w:val="000000" w:themeColor="text1"/>
          <w:szCs w:val="22"/>
        </w:rPr>
        <w:t>All applicants are asked to provide correct household income and composition information in order to determine the tenant contribution. Existing residents are also required to provide updated information when:</w:t>
      </w:r>
    </w:p>
    <w:p w14:paraId="09FCAE13" w14:textId="7E93CBB2" w:rsidR="708709FE" w:rsidRDefault="708709FE" w:rsidP="5EBAAD4B">
      <w:pPr>
        <w:pStyle w:val="ListParagraph"/>
        <w:numPr>
          <w:ilvl w:val="0"/>
          <w:numId w:val="6"/>
        </w:numPr>
        <w:spacing w:line="276" w:lineRule="auto"/>
        <w:rPr>
          <w:rFonts w:asciiTheme="minorHAnsi" w:eastAsiaTheme="minorEastAsia" w:hAnsiTheme="minorHAnsi"/>
          <w:color w:val="000000" w:themeColor="text1"/>
          <w:szCs w:val="22"/>
        </w:rPr>
      </w:pPr>
      <w:r w:rsidRPr="5EBAAD4B">
        <w:rPr>
          <w:rFonts w:eastAsia="Arial" w:cs="Arial"/>
          <w:color w:val="000000" w:themeColor="text1"/>
          <w:szCs w:val="22"/>
        </w:rPr>
        <w:t>The resident’s income changes;</w:t>
      </w:r>
    </w:p>
    <w:p w14:paraId="4DBB9CC2" w14:textId="3CDC2738" w:rsidR="708709FE" w:rsidRDefault="708709FE" w:rsidP="5EBAAD4B">
      <w:pPr>
        <w:pStyle w:val="ListParagraph"/>
        <w:numPr>
          <w:ilvl w:val="0"/>
          <w:numId w:val="6"/>
        </w:numPr>
        <w:spacing w:line="276" w:lineRule="auto"/>
        <w:rPr>
          <w:rFonts w:asciiTheme="minorHAnsi" w:eastAsiaTheme="minorEastAsia" w:hAnsiTheme="minorHAnsi"/>
          <w:color w:val="000000" w:themeColor="text1"/>
          <w:szCs w:val="22"/>
        </w:rPr>
      </w:pPr>
      <w:r w:rsidRPr="5EBAAD4B">
        <w:rPr>
          <w:rFonts w:eastAsia="Arial" w:cs="Arial"/>
          <w:color w:val="000000" w:themeColor="text1"/>
          <w:szCs w:val="22"/>
        </w:rPr>
        <w:t>The income of another member of the tenant’s household changes;</w:t>
      </w:r>
    </w:p>
    <w:p w14:paraId="0C105FB0" w14:textId="47637D81" w:rsidR="708709FE" w:rsidRDefault="708709FE" w:rsidP="5EBAAD4B">
      <w:pPr>
        <w:pStyle w:val="ListParagraph"/>
        <w:numPr>
          <w:ilvl w:val="0"/>
          <w:numId w:val="6"/>
        </w:numPr>
        <w:spacing w:line="276" w:lineRule="auto"/>
        <w:rPr>
          <w:rFonts w:asciiTheme="minorHAnsi" w:eastAsiaTheme="minorEastAsia" w:hAnsiTheme="minorHAnsi"/>
          <w:color w:val="000000" w:themeColor="text1"/>
          <w:szCs w:val="22"/>
        </w:rPr>
      </w:pPr>
      <w:r w:rsidRPr="5EBAAD4B">
        <w:rPr>
          <w:rFonts w:eastAsia="Arial" w:cs="Arial"/>
          <w:color w:val="000000" w:themeColor="text1"/>
          <w:szCs w:val="22"/>
        </w:rPr>
        <w:t xml:space="preserve">The household composition changes; and/ or </w:t>
      </w:r>
    </w:p>
    <w:p w14:paraId="738F4665" w14:textId="1F0053A5" w:rsidR="708709FE" w:rsidRDefault="708709FE" w:rsidP="5EBAAD4B">
      <w:pPr>
        <w:pStyle w:val="ListParagraph"/>
        <w:numPr>
          <w:ilvl w:val="0"/>
          <w:numId w:val="6"/>
        </w:numPr>
        <w:spacing w:line="276" w:lineRule="auto"/>
        <w:rPr>
          <w:rFonts w:asciiTheme="minorHAnsi" w:eastAsiaTheme="minorEastAsia" w:hAnsiTheme="minorHAnsi"/>
          <w:color w:val="000000" w:themeColor="text1"/>
          <w:szCs w:val="22"/>
        </w:rPr>
      </w:pPr>
      <w:r w:rsidRPr="5EBAAD4B">
        <w:rPr>
          <w:rFonts w:eastAsia="Arial" w:cs="Arial"/>
          <w:color w:val="000000" w:themeColor="text1"/>
          <w:szCs w:val="22"/>
        </w:rPr>
        <w:t>HCT request that information.</w:t>
      </w:r>
    </w:p>
    <w:p w14:paraId="7E86B4AF" w14:textId="0D6AD328" w:rsidR="708709FE" w:rsidRDefault="708709FE" w:rsidP="5EBAAD4B">
      <w:pPr>
        <w:spacing w:line="276" w:lineRule="auto"/>
      </w:pPr>
      <w:r w:rsidRPr="5EBAAD4B">
        <w:rPr>
          <w:rFonts w:eastAsia="Arial" w:cs="Arial"/>
          <w:color w:val="000000" w:themeColor="text1"/>
          <w:szCs w:val="22"/>
        </w:rPr>
        <w:t>Applicants will be provided with information on their tenant contribution prior to commencement of the tenancy.</w:t>
      </w:r>
    </w:p>
    <w:p w14:paraId="051BF13D" w14:textId="1397255C" w:rsidR="708709FE" w:rsidRDefault="708709FE" w:rsidP="5EBAAD4B">
      <w:pPr>
        <w:spacing w:line="276" w:lineRule="auto"/>
      </w:pPr>
      <w:r w:rsidRPr="5EBAAD4B">
        <w:rPr>
          <w:rFonts w:eastAsia="Arial" w:cs="Arial"/>
          <w:color w:val="000000" w:themeColor="text1"/>
          <w:szCs w:val="22"/>
        </w:rPr>
        <w:t xml:space="preserve">If there is a change in the market rent for a property, existing residents will be given notice in writing in accordance with the Residential Tenancy Act (Tas) 1997. </w:t>
      </w:r>
    </w:p>
    <w:p w14:paraId="0458B5ED" w14:textId="62C222F0" w:rsidR="708709FE" w:rsidRDefault="708709FE" w:rsidP="5EBAAD4B">
      <w:pPr>
        <w:spacing w:line="276" w:lineRule="auto"/>
      </w:pPr>
      <w:r w:rsidRPr="5EBAAD4B">
        <w:rPr>
          <w:rFonts w:eastAsia="Arial" w:cs="Arial"/>
          <w:color w:val="000000" w:themeColor="text1"/>
          <w:szCs w:val="22"/>
        </w:rPr>
        <w:t xml:space="preserve">Housing Choices Tasmania includes Commonwealth Rent Assistance (CRA) in all rent setting. Housing Choices Tasmania calculates the CRA based on the full entitlement for each household member regardless of whether they are in receipt of that income or not. </w:t>
      </w:r>
    </w:p>
    <w:p w14:paraId="3B3118FA" w14:textId="0BDD2E88" w:rsidR="708709FE" w:rsidRDefault="708709FE" w:rsidP="5EBAAD4B">
      <w:pPr>
        <w:rPr>
          <w:rFonts w:eastAsia="Calibri"/>
          <w:color w:val="000000" w:themeColor="text1"/>
          <w:szCs w:val="22"/>
        </w:rPr>
      </w:pPr>
      <w:r w:rsidRPr="5EBAAD4B">
        <w:rPr>
          <w:rFonts w:eastAsia="Arial" w:cs="Arial"/>
          <w:color w:val="000000" w:themeColor="text1"/>
          <w:szCs w:val="22"/>
        </w:rPr>
        <w:t xml:space="preserve">It is the resident’s responsibility to ensure that all household members are in receipt of accurate and correct payments. </w:t>
      </w:r>
      <w:r w:rsidRPr="5EBAAD4B">
        <w:rPr>
          <w:rFonts w:eastAsia="Arial" w:cs="Arial"/>
          <w:sz w:val="24"/>
        </w:rPr>
        <w:t xml:space="preserve">HCT </w:t>
      </w:r>
      <w:r w:rsidRPr="5EBAAD4B">
        <w:rPr>
          <w:rFonts w:eastAsia="Arial" w:cs="Arial"/>
          <w:color w:val="000000" w:themeColor="text1"/>
          <w:szCs w:val="22"/>
        </w:rPr>
        <w:t>can support tenants via referral services to assist with this process</w:t>
      </w:r>
    </w:p>
    <w:p w14:paraId="6D4B49D7" w14:textId="77777777" w:rsidR="006A6119" w:rsidRPr="00843B3C" w:rsidRDefault="4737C631" w:rsidP="00C92277">
      <w:pPr>
        <w:pStyle w:val="Heading2"/>
      </w:pPr>
      <w:r>
        <w:t>Definitions</w:t>
      </w:r>
    </w:p>
    <w:p w14:paraId="7FDD151A" w14:textId="47564D06" w:rsidR="3FF47972" w:rsidRDefault="3FF47972" w:rsidP="5EBAAD4B">
      <w:pPr>
        <w:spacing w:line="276" w:lineRule="auto"/>
      </w:pPr>
      <w:r w:rsidRPr="5EBAAD4B">
        <w:rPr>
          <w:rFonts w:eastAsia="Arial" w:cs="Arial"/>
          <w:b/>
          <w:bCs/>
          <w:color w:val="000000" w:themeColor="text1"/>
          <w:szCs w:val="22"/>
        </w:rPr>
        <w:t>Rent</w:t>
      </w:r>
      <w:r w:rsidRPr="5EBAAD4B">
        <w:rPr>
          <w:rFonts w:eastAsia="Arial" w:cs="Arial"/>
          <w:color w:val="000000" w:themeColor="text1"/>
          <w:szCs w:val="22"/>
        </w:rPr>
        <w:t xml:space="preserve"> is set as the </w:t>
      </w:r>
      <w:r w:rsidRPr="5EBAAD4B">
        <w:rPr>
          <w:rFonts w:eastAsia="Arial" w:cs="Arial"/>
          <w:b/>
          <w:bCs/>
          <w:color w:val="000000" w:themeColor="text1"/>
          <w:szCs w:val="22"/>
          <w:u w:val="single"/>
        </w:rPr>
        <w:t>market rent</w:t>
      </w:r>
      <w:r w:rsidRPr="5EBAAD4B">
        <w:rPr>
          <w:rFonts w:eastAsia="Arial" w:cs="Arial"/>
          <w:color w:val="000000" w:themeColor="text1"/>
          <w:szCs w:val="22"/>
        </w:rPr>
        <w:t xml:space="preserve"> for an individual property. This is the amount of rent charged should the property be in the private rental market.  For HCT properties, rent is capped at 75% of the market rent.</w:t>
      </w:r>
    </w:p>
    <w:p w14:paraId="07F7434A" w14:textId="3AF51EDE" w:rsidR="3FF47972" w:rsidRDefault="3FF47972" w:rsidP="5EBAAD4B">
      <w:pPr>
        <w:spacing w:line="276" w:lineRule="auto"/>
      </w:pPr>
      <w:r w:rsidRPr="5EBAAD4B">
        <w:rPr>
          <w:rFonts w:eastAsia="Arial" w:cs="Arial"/>
          <w:b/>
          <w:bCs/>
          <w:color w:val="000000" w:themeColor="text1"/>
          <w:szCs w:val="22"/>
        </w:rPr>
        <w:t>Tenant contributions</w:t>
      </w:r>
      <w:r w:rsidRPr="5EBAAD4B">
        <w:rPr>
          <w:rFonts w:eastAsia="Arial" w:cs="Arial"/>
          <w:color w:val="000000" w:themeColor="text1"/>
          <w:szCs w:val="22"/>
        </w:rPr>
        <w:t xml:space="preserve"> is a subsidised rent based on household income and composition.</w:t>
      </w:r>
    </w:p>
    <w:p w14:paraId="5EC2EE97" w14:textId="3C55847C" w:rsidR="3FF47972" w:rsidRDefault="3FF47972" w:rsidP="5EBAAD4B">
      <w:pPr>
        <w:spacing w:line="276" w:lineRule="auto"/>
      </w:pPr>
      <w:r w:rsidRPr="5EBAAD4B">
        <w:rPr>
          <w:rFonts w:eastAsia="Arial" w:cs="Arial"/>
          <w:b/>
          <w:bCs/>
          <w:color w:val="000000" w:themeColor="text1"/>
          <w:szCs w:val="22"/>
        </w:rPr>
        <w:t xml:space="preserve">Rental Subsidy </w:t>
      </w:r>
      <w:r w:rsidRPr="5EBAAD4B">
        <w:rPr>
          <w:rFonts w:eastAsia="Arial" w:cs="Arial"/>
          <w:color w:val="000000" w:themeColor="text1"/>
          <w:szCs w:val="22"/>
        </w:rPr>
        <w:t>is the difference between either 75% of the market rent or 25% of income plus CRA and the actual tenant contribution. This reflects the subsidy incurred by HCT.</w:t>
      </w:r>
    </w:p>
    <w:p w14:paraId="7556C00E" w14:textId="6E5D13B2" w:rsidR="3FF47972" w:rsidRDefault="3FF47972" w:rsidP="5EBAAD4B">
      <w:pPr>
        <w:rPr>
          <w:rFonts w:eastAsia="Calibri"/>
          <w:color w:val="000000" w:themeColor="text1"/>
          <w:szCs w:val="22"/>
        </w:rPr>
      </w:pPr>
      <w:r w:rsidRPr="5EBAAD4B">
        <w:rPr>
          <w:rFonts w:eastAsia="Arial" w:cs="Arial"/>
          <w:b/>
          <w:bCs/>
          <w:color w:val="000000" w:themeColor="text1"/>
          <w:szCs w:val="22"/>
        </w:rPr>
        <w:t xml:space="preserve">Commonwealth Rent Assistance (CRA) </w:t>
      </w:r>
      <w:r w:rsidRPr="5EBAAD4B">
        <w:rPr>
          <w:rFonts w:eastAsia="Arial" w:cs="Arial"/>
          <w:color w:val="000000" w:themeColor="text1"/>
          <w:szCs w:val="22"/>
        </w:rPr>
        <w:t>This</w:t>
      </w:r>
      <w:r w:rsidRPr="5EBAAD4B">
        <w:rPr>
          <w:rFonts w:eastAsia="Arial" w:cs="Arial"/>
          <w:b/>
          <w:bCs/>
          <w:color w:val="000000" w:themeColor="text1"/>
          <w:szCs w:val="22"/>
        </w:rPr>
        <w:t xml:space="preserve"> </w:t>
      </w:r>
      <w:r w:rsidRPr="5EBAAD4B">
        <w:rPr>
          <w:rFonts w:eastAsia="Arial" w:cs="Arial"/>
          <w:color w:val="000000" w:themeColor="text1"/>
          <w:szCs w:val="22"/>
        </w:rPr>
        <w:t>is the eligible dollar amount paid by Centrelink to eligible Centrelink recipients. Housing Choices Tasmania will apply this amount when setting the contribution to rent</w:t>
      </w:r>
    </w:p>
    <w:p w14:paraId="60880D4D" w14:textId="77777777" w:rsidR="006A6119" w:rsidRDefault="006A6119" w:rsidP="006A6119">
      <w:pPr>
        <w:pStyle w:val="Heading2"/>
      </w:pPr>
      <w:r>
        <w:t xml:space="preserve">Determining Rent </w:t>
      </w:r>
    </w:p>
    <w:p w14:paraId="5E732726" w14:textId="77777777" w:rsidR="006A6119" w:rsidRPr="00843B3C" w:rsidRDefault="4737C631" w:rsidP="00841718">
      <w:r>
        <w:t>The amount of rental contribution charged is different for different rental programs.</w:t>
      </w:r>
    </w:p>
    <w:p w14:paraId="65FDA9D2" w14:textId="45B92E56" w:rsidR="006A6119" w:rsidRPr="00843B3C" w:rsidRDefault="7F7614FE" w:rsidP="009020A4">
      <w:pPr>
        <w:pStyle w:val="Heading3"/>
      </w:pPr>
      <w:r w:rsidRPr="5EBAAD4B">
        <w:rPr>
          <w:rFonts w:eastAsia="Arial"/>
        </w:rPr>
        <w:lastRenderedPageBreak/>
        <w:t xml:space="preserve">HCT Owned and Managed </w:t>
      </w:r>
    </w:p>
    <w:p w14:paraId="7C3C0085" w14:textId="76DFA6E9" w:rsidR="006A6119" w:rsidRPr="00843B3C" w:rsidRDefault="7F7614FE" w:rsidP="5EBAAD4B">
      <w:pPr>
        <w:spacing w:line="276" w:lineRule="auto"/>
        <w:jc w:val="both"/>
      </w:pPr>
      <w:r w:rsidRPr="5EBAAD4B">
        <w:rPr>
          <w:rFonts w:eastAsia="Arial" w:cs="Arial"/>
          <w:color w:val="000000" w:themeColor="text1"/>
          <w:szCs w:val="22"/>
        </w:rPr>
        <w:t xml:space="preserve">This method takes account of the income and assets of the tenant and their household members aged 16 or over. The tenant contribution is calculated as follows: </w:t>
      </w:r>
    </w:p>
    <w:p w14:paraId="15171988" w14:textId="06AC42B9" w:rsidR="006A6119" w:rsidRPr="00843B3C" w:rsidRDefault="7F7614FE" w:rsidP="5EBAAD4B">
      <w:pPr>
        <w:pStyle w:val="ListParagraph"/>
        <w:numPr>
          <w:ilvl w:val="0"/>
          <w:numId w:val="5"/>
        </w:numPr>
        <w:spacing w:line="276" w:lineRule="auto"/>
        <w:rPr>
          <w:rFonts w:asciiTheme="minorHAnsi" w:eastAsiaTheme="minorEastAsia" w:hAnsiTheme="minorHAnsi"/>
          <w:color w:val="000000" w:themeColor="text1"/>
          <w:szCs w:val="22"/>
        </w:rPr>
      </w:pPr>
      <w:r w:rsidRPr="5EBAAD4B">
        <w:rPr>
          <w:rFonts w:eastAsia="Arial" w:cs="Arial"/>
          <w:color w:val="000000" w:themeColor="text1"/>
          <w:szCs w:val="22"/>
        </w:rPr>
        <w:t>25% of an individual/household primary income and Centrelink Allowances dependent on the property program; plus</w:t>
      </w:r>
    </w:p>
    <w:p w14:paraId="6D57511B" w14:textId="2AE60F4E" w:rsidR="006A6119" w:rsidRPr="00843B3C" w:rsidRDefault="7F7614FE" w:rsidP="5EBAAD4B">
      <w:pPr>
        <w:pStyle w:val="ListParagraph"/>
        <w:numPr>
          <w:ilvl w:val="0"/>
          <w:numId w:val="5"/>
        </w:numPr>
        <w:spacing w:line="276" w:lineRule="auto"/>
        <w:rPr>
          <w:rFonts w:asciiTheme="minorHAnsi" w:eastAsiaTheme="minorEastAsia" w:hAnsiTheme="minorHAnsi"/>
          <w:color w:val="000000" w:themeColor="text1"/>
          <w:szCs w:val="22"/>
        </w:rPr>
      </w:pPr>
      <w:r w:rsidRPr="5EBAAD4B">
        <w:rPr>
          <w:rFonts w:eastAsia="Arial" w:cs="Arial"/>
          <w:color w:val="000000" w:themeColor="text1"/>
          <w:szCs w:val="22"/>
        </w:rPr>
        <w:t>25% of Family Benefit Income (including maintenance payments); plus</w:t>
      </w:r>
    </w:p>
    <w:p w14:paraId="3727DB60" w14:textId="2A2830DD" w:rsidR="006A6119" w:rsidRPr="00843B3C" w:rsidRDefault="7F7614FE" w:rsidP="5EBAAD4B">
      <w:pPr>
        <w:pStyle w:val="ListParagraph"/>
        <w:numPr>
          <w:ilvl w:val="0"/>
          <w:numId w:val="5"/>
        </w:numPr>
        <w:spacing w:line="276" w:lineRule="auto"/>
        <w:rPr>
          <w:rFonts w:asciiTheme="minorHAnsi" w:eastAsiaTheme="minorEastAsia" w:hAnsiTheme="minorHAnsi"/>
          <w:color w:val="000000" w:themeColor="text1"/>
          <w:szCs w:val="22"/>
        </w:rPr>
      </w:pPr>
      <w:r w:rsidRPr="5EBAAD4B">
        <w:rPr>
          <w:rFonts w:eastAsia="Arial" w:cs="Arial"/>
          <w:color w:val="000000" w:themeColor="text1"/>
          <w:szCs w:val="22"/>
        </w:rPr>
        <w:t xml:space="preserve">100% Commonwealth Rent Assistance (if eligible). </w:t>
      </w:r>
    </w:p>
    <w:p w14:paraId="2A70D433" w14:textId="265012C6" w:rsidR="006A6119" w:rsidRPr="00843B3C" w:rsidRDefault="7F7614FE" w:rsidP="5EBAAD4B">
      <w:pPr>
        <w:rPr>
          <w:rFonts w:eastAsia="Calibri"/>
          <w:i/>
          <w:iCs/>
          <w:szCs w:val="22"/>
        </w:rPr>
      </w:pPr>
      <w:r w:rsidRPr="5EBAAD4B">
        <w:rPr>
          <w:rFonts w:eastAsia="Arial" w:cs="Arial"/>
          <w:i/>
          <w:iCs/>
          <w:szCs w:val="22"/>
        </w:rPr>
        <w:t xml:space="preserve">If the tenant contribution is higher than 75% of the market rent the maximum of 75% of market rent will apply.  </w:t>
      </w:r>
    </w:p>
    <w:p w14:paraId="5F53F0CC" w14:textId="75EDC1A3" w:rsidR="5EC88797" w:rsidRDefault="5EC88797" w:rsidP="00C92277">
      <w:pPr>
        <w:pStyle w:val="Heading2"/>
        <w:rPr>
          <w:bCs/>
        </w:rPr>
      </w:pPr>
      <w:r w:rsidRPr="5EBAAD4B">
        <w:t xml:space="preserve">Residents that have transferred over from Housing Tasmania </w:t>
      </w:r>
    </w:p>
    <w:p w14:paraId="41F15D98" w14:textId="4951D81D" w:rsidR="5EC88797" w:rsidRDefault="5EC88797" w:rsidP="5EBAAD4B">
      <w:pPr>
        <w:spacing w:line="276" w:lineRule="auto"/>
        <w:rPr>
          <w:rFonts w:eastAsia="Calibri"/>
          <w:szCs w:val="22"/>
        </w:rPr>
      </w:pPr>
      <w:r w:rsidRPr="5EBAAD4B">
        <w:rPr>
          <w:rFonts w:eastAsia="Arial" w:cs="Arial"/>
          <w:szCs w:val="22"/>
        </w:rPr>
        <w:t>If the resident’s lease was converted from a Housing Tasmania lease to an HCT lease, the tenant contribution is capped at 75% of the market rent and is calculated as follows:</w:t>
      </w:r>
    </w:p>
    <w:p w14:paraId="03A2F49A" w14:textId="1EC27EC2" w:rsidR="5EC88797" w:rsidRDefault="5EC88797" w:rsidP="5EBAAD4B">
      <w:pPr>
        <w:pStyle w:val="ListParagraph"/>
        <w:numPr>
          <w:ilvl w:val="0"/>
          <w:numId w:val="16"/>
        </w:numPr>
        <w:spacing w:line="276" w:lineRule="auto"/>
        <w:rPr>
          <w:rFonts w:asciiTheme="minorHAnsi" w:eastAsiaTheme="minorEastAsia" w:hAnsiTheme="minorHAnsi"/>
          <w:szCs w:val="22"/>
        </w:rPr>
      </w:pPr>
      <w:r w:rsidRPr="5EBAAD4B">
        <w:rPr>
          <w:rFonts w:eastAsia="Arial" w:cs="Arial"/>
          <w:szCs w:val="22"/>
        </w:rPr>
        <w:t>25% of the household primary income, maintenance payments and investments; plus</w:t>
      </w:r>
    </w:p>
    <w:p w14:paraId="4D832CA4" w14:textId="4F37C93E" w:rsidR="5EC88797" w:rsidRDefault="5EC88797" w:rsidP="5EBAAD4B">
      <w:pPr>
        <w:pStyle w:val="ListParagraph"/>
        <w:numPr>
          <w:ilvl w:val="0"/>
          <w:numId w:val="16"/>
        </w:numPr>
        <w:spacing w:line="276" w:lineRule="auto"/>
        <w:rPr>
          <w:rFonts w:asciiTheme="minorHAnsi" w:eastAsiaTheme="minorEastAsia" w:hAnsiTheme="minorHAnsi"/>
          <w:szCs w:val="22"/>
        </w:rPr>
      </w:pPr>
      <w:r w:rsidRPr="5EBAAD4B">
        <w:rPr>
          <w:rFonts w:eastAsia="Arial" w:cs="Arial"/>
          <w:szCs w:val="22"/>
        </w:rPr>
        <w:t xml:space="preserve">15% of Family Tax Benefit Part A </w:t>
      </w:r>
    </w:p>
    <w:p w14:paraId="67C52B8F" w14:textId="7BDA8512" w:rsidR="5EC88797" w:rsidRDefault="5EC88797" w:rsidP="5EBAAD4B">
      <w:pPr>
        <w:pStyle w:val="ListParagraph"/>
        <w:numPr>
          <w:ilvl w:val="0"/>
          <w:numId w:val="16"/>
        </w:numPr>
        <w:spacing w:line="276" w:lineRule="auto"/>
        <w:rPr>
          <w:rFonts w:asciiTheme="minorHAnsi" w:eastAsiaTheme="minorEastAsia" w:hAnsiTheme="minorHAnsi"/>
          <w:szCs w:val="22"/>
        </w:rPr>
      </w:pPr>
      <w:r w:rsidRPr="5EBAAD4B">
        <w:rPr>
          <w:rFonts w:eastAsia="Arial" w:cs="Arial"/>
          <w:szCs w:val="22"/>
        </w:rPr>
        <w:t>100% Commonwealth Rent Assistance (CRA)</w:t>
      </w:r>
    </w:p>
    <w:p w14:paraId="0AF8D2F4" w14:textId="398EC3D6" w:rsidR="5EC88797" w:rsidRDefault="5EC88797" w:rsidP="5EBAAD4B">
      <w:pPr>
        <w:spacing w:line="276" w:lineRule="auto"/>
        <w:rPr>
          <w:rFonts w:eastAsia="Calibri"/>
          <w:szCs w:val="22"/>
        </w:rPr>
      </w:pPr>
      <w:r w:rsidRPr="5EBAAD4B">
        <w:rPr>
          <w:rFonts w:eastAsia="Arial" w:cs="Arial"/>
          <w:szCs w:val="22"/>
        </w:rPr>
        <w:t>Some residents who convert from a Housing Tasmania lease to an HCT lease will receive minimal or no CRA due to their circumstances. In these instances, the tenant contribution is capped at the Housing Tasmania determined market rent.</w:t>
      </w:r>
    </w:p>
    <w:p w14:paraId="7485A0C8" w14:textId="7EE3209D" w:rsidR="5EC88797" w:rsidRDefault="5EC88797" w:rsidP="5EBAAD4B">
      <w:pPr>
        <w:spacing w:line="276" w:lineRule="auto"/>
        <w:rPr>
          <w:rFonts w:eastAsia="Calibri"/>
          <w:szCs w:val="22"/>
        </w:rPr>
      </w:pPr>
      <w:r w:rsidRPr="5EBAAD4B">
        <w:rPr>
          <w:rFonts w:eastAsia="Arial" w:cs="Arial"/>
          <w:szCs w:val="22"/>
        </w:rPr>
        <w:t>If the resident’s lease remains with Housing Tasmania the tenant contribution is capped at the Housing Tasmania determined market rent and is calculated as follows:</w:t>
      </w:r>
    </w:p>
    <w:p w14:paraId="51A2F548" w14:textId="33AC6E4F" w:rsidR="5EC88797" w:rsidRDefault="5EC88797" w:rsidP="5EBAAD4B">
      <w:pPr>
        <w:pStyle w:val="ListParagraph"/>
        <w:numPr>
          <w:ilvl w:val="0"/>
          <w:numId w:val="16"/>
        </w:numPr>
        <w:spacing w:line="276" w:lineRule="auto"/>
        <w:rPr>
          <w:rFonts w:asciiTheme="minorHAnsi" w:eastAsiaTheme="minorEastAsia" w:hAnsiTheme="minorHAnsi"/>
          <w:szCs w:val="22"/>
        </w:rPr>
      </w:pPr>
      <w:r w:rsidRPr="5EBAAD4B">
        <w:rPr>
          <w:rFonts w:eastAsia="Arial" w:cs="Arial"/>
          <w:szCs w:val="22"/>
        </w:rPr>
        <w:t>25% of the household primary income, maintenance payments and investments; plus</w:t>
      </w:r>
    </w:p>
    <w:p w14:paraId="63877D2A" w14:textId="63F501E2" w:rsidR="5EC88797" w:rsidRDefault="5EC88797" w:rsidP="5EBAAD4B">
      <w:pPr>
        <w:pStyle w:val="ListParagraph"/>
        <w:numPr>
          <w:ilvl w:val="0"/>
          <w:numId w:val="16"/>
        </w:numPr>
        <w:spacing w:line="276" w:lineRule="auto"/>
        <w:rPr>
          <w:rFonts w:asciiTheme="minorHAnsi" w:eastAsiaTheme="minorEastAsia" w:hAnsiTheme="minorHAnsi"/>
          <w:szCs w:val="22"/>
        </w:rPr>
      </w:pPr>
      <w:r w:rsidRPr="5EBAAD4B">
        <w:rPr>
          <w:rFonts w:eastAsia="Arial" w:cs="Arial"/>
          <w:szCs w:val="22"/>
        </w:rPr>
        <w:t>15% of family payments (FTB A) and</w:t>
      </w:r>
    </w:p>
    <w:p w14:paraId="1F386730" w14:textId="57C90C29" w:rsidR="5EC88797" w:rsidRDefault="5EC88797" w:rsidP="5EBAAD4B">
      <w:pPr>
        <w:pStyle w:val="ListParagraph"/>
        <w:numPr>
          <w:ilvl w:val="0"/>
          <w:numId w:val="16"/>
        </w:numPr>
        <w:spacing w:line="276" w:lineRule="auto"/>
        <w:rPr>
          <w:rFonts w:asciiTheme="minorHAnsi" w:eastAsiaTheme="minorEastAsia" w:hAnsiTheme="minorHAnsi"/>
          <w:szCs w:val="22"/>
        </w:rPr>
      </w:pPr>
      <w:r w:rsidRPr="5EBAAD4B">
        <w:rPr>
          <w:rFonts w:eastAsia="Arial" w:cs="Arial"/>
          <w:szCs w:val="22"/>
        </w:rPr>
        <w:t xml:space="preserve">5% of family payments (FTB B) </w:t>
      </w:r>
    </w:p>
    <w:p w14:paraId="191C40AF" w14:textId="48810408" w:rsidR="5EC88797" w:rsidRDefault="5EC88797" w:rsidP="5EBAAD4B">
      <w:pPr>
        <w:pStyle w:val="ListParagraph"/>
        <w:numPr>
          <w:ilvl w:val="0"/>
          <w:numId w:val="16"/>
        </w:numPr>
        <w:spacing w:line="276" w:lineRule="auto"/>
        <w:rPr>
          <w:rFonts w:asciiTheme="minorHAnsi" w:eastAsiaTheme="minorEastAsia" w:hAnsiTheme="minorHAnsi"/>
          <w:szCs w:val="22"/>
        </w:rPr>
      </w:pPr>
      <w:r w:rsidRPr="5EBAAD4B">
        <w:rPr>
          <w:rFonts w:eastAsia="Arial" w:cs="Arial"/>
          <w:szCs w:val="22"/>
        </w:rPr>
        <w:t>100% Commonwealth Rent Assistance</w:t>
      </w:r>
    </w:p>
    <w:p w14:paraId="44230D06" w14:textId="77777777" w:rsidR="006A6119" w:rsidRDefault="4737C631" w:rsidP="00C92277">
      <w:pPr>
        <w:pStyle w:val="Heading2"/>
      </w:pPr>
      <w:r w:rsidRPr="5EBAAD4B">
        <w:t xml:space="preserve">National Rental Affordability Scheme (NRAS) Properties </w:t>
      </w:r>
    </w:p>
    <w:p w14:paraId="22D85082" w14:textId="4B36DE4E" w:rsidR="44819094" w:rsidRDefault="44819094" w:rsidP="5EBAAD4B">
      <w:pPr>
        <w:spacing w:line="276" w:lineRule="auto"/>
      </w:pPr>
      <w:r w:rsidRPr="5EBAAD4B">
        <w:rPr>
          <w:rFonts w:eastAsia="Arial" w:cs="Arial"/>
          <w:szCs w:val="22"/>
        </w:rPr>
        <w:t>The tenant contribution is calculated based on the household income and the relevant market rent.</w:t>
      </w:r>
      <w:r w:rsidRPr="5EBAAD4B">
        <w:rPr>
          <w:rFonts w:eastAsia="Arial" w:cs="Arial"/>
          <w:b/>
          <w:bCs/>
          <w:szCs w:val="22"/>
        </w:rPr>
        <w:t xml:space="preserve"> </w:t>
      </w:r>
      <w:r w:rsidRPr="5EBAAD4B">
        <w:rPr>
          <w:rFonts w:eastAsia="Arial" w:cs="Arial"/>
          <w:szCs w:val="22"/>
        </w:rPr>
        <w:t>Residents are on</w:t>
      </w:r>
      <w:r w:rsidRPr="5EBAAD4B">
        <w:rPr>
          <w:rFonts w:eastAsia="Arial" w:cs="Arial"/>
          <w:b/>
          <w:bCs/>
          <w:szCs w:val="22"/>
        </w:rPr>
        <w:t xml:space="preserve"> </w:t>
      </w:r>
      <w:r w:rsidRPr="5EBAAD4B">
        <w:rPr>
          <w:rFonts w:eastAsia="Arial" w:cs="Arial"/>
          <w:szCs w:val="22"/>
        </w:rPr>
        <w:t>fixed term leases and can only have their tenant contribution adjusted in line with changes in the market rent.</w:t>
      </w:r>
      <w:r w:rsidRPr="5EBAAD4B">
        <w:rPr>
          <w:rFonts w:eastAsia="Arial" w:cs="Arial"/>
          <w:b/>
          <w:bCs/>
          <w:szCs w:val="22"/>
        </w:rPr>
        <w:t xml:space="preserve"> </w:t>
      </w:r>
      <w:r w:rsidRPr="5EBAAD4B">
        <w:rPr>
          <w:rFonts w:eastAsia="Arial" w:cs="Arial"/>
          <w:szCs w:val="22"/>
        </w:rPr>
        <w:t xml:space="preserve">Tenant contributions are to be no more than 75% of the market rent.  The tenant contribution is calculated as follows: </w:t>
      </w:r>
    </w:p>
    <w:p w14:paraId="5DAA3B31" w14:textId="67E51D32" w:rsidR="44819094" w:rsidRDefault="44819094" w:rsidP="5EBAAD4B">
      <w:pPr>
        <w:pStyle w:val="ListParagraph"/>
        <w:numPr>
          <w:ilvl w:val="0"/>
          <w:numId w:val="2"/>
        </w:numPr>
        <w:spacing w:line="276" w:lineRule="auto"/>
        <w:rPr>
          <w:rFonts w:asciiTheme="minorHAnsi" w:eastAsiaTheme="minorEastAsia" w:hAnsiTheme="minorHAnsi"/>
          <w:szCs w:val="22"/>
        </w:rPr>
      </w:pPr>
      <w:r w:rsidRPr="5EBAAD4B">
        <w:rPr>
          <w:rFonts w:eastAsia="Arial" w:cs="Arial"/>
          <w:szCs w:val="22"/>
        </w:rPr>
        <w:t>30% of the household primary income, Centrelink Allowances and investments; plus</w:t>
      </w:r>
    </w:p>
    <w:p w14:paraId="57FDAEB7" w14:textId="71A1CBD3" w:rsidR="44819094" w:rsidRDefault="44819094" w:rsidP="5EBAAD4B">
      <w:pPr>
        <w:pStyle w:val="ListParagraph"/>
        <w:numPr>
          <w:ilvl w:val="0"/>
          <w:numId w:val="2"/>
        </w:numPr>
        <w:spacing w:line="276" w:lineRule="auto"/>
        <w:rPr>
          <w:rFonts w:asciiTheme="minorHAnsi" w:eastAsiaTheme="minorEastAsia" w:hAnsiTheme="minorHAnsi"/>
          <w:szCs w:val="22"/>
        </w:rPr>
      </w:pPr>
      <w:r w:rsidRPr="5EBAAD4B">
        <w:rPr>
          <w:rFonts w:eastAsia="Arial" w:cs="Arial"/>
          <w:szCs w:val="22"/>
        </w:rPr>
        <w:t>30% of family payments and maintenance payments; plus</w:t>
      </w:r>
    </w:p>
    <w:p w14:paraId="51081C5C" w14:textId="3F2E8EC2" w:rsidR="44819094" w:rsidRDefault="44819094" w:rsidP="5EBAAD4B">
      <w:pPr>
        <w:pStyle w:val="ListParagraph"/>
        <w:numPr>
          <w:ilvl w:val="0"/>
          <w:numId w:val="2"/>
        </w:numPr>
        <w:spacing w:line="276" w:lineRule="auto"/>
        <w:rPr>
          <w:rFonts w:asciiTheme="minorHAnsi" w:eastAsiaTheme="minorEastAsia" w:hAnsiTheme="minorHAnsi"/>
          <w:szCs w:val="22"/>
        </w:rPr>
      </w:pPr>
      <w:r w:rsidRPr="5EBAAD4B">
        <w:rPr>
          <w:rFonts w:eastAsia="Arial" w:cs="Arial"/>
          <w:szCs w:val="22"/>
        </w:rPr>
        <w:t xml:space="preserve">100% Commonwealth Rent Assistance </w:t>
      </w:r>
    </w:p>
    <w:p w14:paraId="60768CCC" w14:textId="77777777" w:rsidR="006A6119" w:rsidRDefault="4737C631" w:rsidP="00C92277">
      <w:pPr>
        <w:pStyle w:val="Heading2"/>
      </w:pPr>
      <w:r>
        <w:lastRenderedPageBreak/>
        <w:t>Income Information Required</w:t>
      </w:r>
    </w:p>
    <w:p w14:paraId="0F262538" w14:textId="0F4F5B90" w:rsidR="032675C6" w:rsidRDefault="032675C6" w:rsidP="5EBAAD4B">
      <w:pPr>
        <w:rPr>
          <w:rFonts w:eastAsia="Calibri"/>
          <w:color w:val="000000" w:themeColor="text1"/>
          <w:szCs w:val="22"/>
        </w:rPr>
      </w:pPr>
      <w:r w:rsidRPr="5EBAAD4B">
        <w:rPr>
          <w:rFonts w:eastAsia="Arial" w:cs="Arial"/>
          <w:color w:val="000000" w:themeColor="text1"/>
          <w:szCs w:val="22"/>
        </w:rPr>
        <w:t>A range of income information for each household member is required to determine the overall tenant contribution. Details of what needs to be provided will be discussed with the applicant or resident by HCT staff.</w:t>
      </w:r>
    </w:p>
    <w:p w14:paraId="3F1417C5" w14:textId="6F08B86A" w:rsidR="032675C6" w:rsidRDefault="032675C6" w:rsidP="5EBAAD4B">
      <w:pPr>
        <w:spacing w:line="276" w:lineRule="auto"/>
        <w:jc w:val="both"/>
        <w:rPr>
          <w:rFonts w:eastAsia="Calibri"/>
          <w:color w:val="000000" w:themeColor="text1"/>
          <w:szCs w:val="22"/>
        </w:rPr>
      </w:pPr>
      <w:r w:rsidRPr="5EBAAD4B">
        <w:rPr>
          <w:rFonts w:eastAsia="Arial" w:cs="Arial"/>
          <w:color w:val="000000" w:themeColor="text1"/>
          <w:szCs w:val="22"/>
        </w:rPr>
        <w:t xml:space="preserve">Tenants can provide authority for Housing Choices Tasmania to access their income details using the Income Confirmation Scheme for all household members in receipt of income support payments. Tenants and household members provide their authority to access their income details in line with the Centrelink eService Terms and Conditions Policy by completing the </w:t>
      </w:r>
      <w:r w:rsidRPr="5EBAAD4B">
        <w:rPr>
          <w:rFonts w:eastAsia="Arial" w:cs="Arial"/>
          <w:b/>
          <w:bCs/>
          <w:i/>
          <w:iCs/>
          <w:color w:val="000000" w:themeColor="text1"/>
          <w:szCs w:val="22"/>
        </w:rPr>
        <w:t>Centrelink Authorisation Form</w:t>
      </w:r>
      <w:r w:rsidRPr="5EBAAD4B">
        <w:rPr>
          <w:rFonts w:eastAsia="Arial" w:cs="Arial"/>
          <w:b/>
          <w:bCs/>
          <w:color w:val="000000" w:themeColor="text1"/>
          <w:szCs w:val="22"/>
        </w:rPr>
        <w:t>.</w:t>
      </w:r>
      <w:r w:rsidRPr="5EBAAD4B">
        <w:rPr>
          <w:rFonts w:eastAsia="Arial" w:cs="Arial"/>
          <w:color w:val="000000" w:themeColor="text1"/>
          <w:szCs w:val="22"/>
        </w:rPr>
        <w:t xml:space="preserve">  </w:t>
      </w:r>
    </w:p>
    <w:p w14:paraId="075A8C0F" w14:textId="687F0946" w:rsidR="032675C6" w:rsidRDefault="032675C6" w:rsidP="5EBAAD4B">
      <w:pPr>
        <w:rPr>
          <w:rFonts w:eastAsia="Calibri"/>
          <w:color w:val="000000" w:themeColor="text1"/>
          <w:szCs w:val="22"/>
        </w:rPr>
      </w:pPr>
      <w:r w:rsidRPr="5EBAAD4B">
        <w:rPr>
          <w:rFonts w:eastAsia="Arial" w:cs="Arial"/>
          <w:color w:val="000000" w:themeColor="text1"/>
          <w:szCs w:val="22"/>
        </w:rPr>
        <w:t>Tenants who have provided access to their income details via Centrelink eService may not need to send income documentation (unless otherwise advised) but are required to complete a Confirmation of Household Members Form and update these when there is a change in household composition</w:t>
      </w:r>
    </w:p>
    <w:p w14:paraId="6CE44DA6" w14:textId="1109D89A" w:rsidR="006A6119" w:rsidRPr="00843B3C" w:rsidRDefault="00A33CC9" w:rsidP="00F865AC">
      <w:r w:rsidRPr="00843B3C">
        <w:rPr>
          <w:b/>
          <w:bCs/>
        </w:rPr>
        <w:t>NOTE:</w:t>
      </w:r>
      <w:r w:rsidR="006A6119" w:rsidRPr="00843B3C">
        <w:t xml:space="preserve"> Where the self-employed resident's income results below the standard rate of Newstart Allowance, then the income will be assessed at the current Newstart Allowance rate.</w:t>
      </w:r>
    </w:p>
    <w:p w14:paraId="0D83D444" w14:textId="77777777" w:rsidR="006A6119" w:rsidRDefault="4737C631" w:rsidP="00C92277">
      <w:pPr>
        <w:pStyle w:val="Heading2"/>
      </w:pPr>
      <w:r w:rsidRPr="5EBAAD4B">
        <w:t xml:space="preserve">What happens when household members do not provide the required income documents? </w:t>
      </w:r>
    </w:p>
    <w:p w14:paraId="14C883B0" w14:textId="737BB2AC" w:rsidR="4E14559D" w:rsidRDefault="4E14559D" w:rsidP="5EBAAD4B">
      <w:pPr>
        <w:spacing w:line="276" w:lineRule="auto"/>
      </w:pPr>
      <w:r w:rsidRPr="5EBAAD4B">
        <w:rPr>
          <w:rFonts w:eastAsia="Arial" w:cs="Arial"/>
          <w:color w:val="000000" w:themeColor="text1"/>
          <w:szCs w:val="22"/>
        </w:rPr>
        <w:t>If the resident fails to provide all required income related documentation by the requested date, the tenant contribution will be automatically set to 75% of the market rent. The resident will be notified in writing, with an</w:t>
      </w:r>
      <w:r w:rsidRPr="5EBAAD4B">
        <w:rPr>
          <w:rFonts w:eastAsia="Arial" w:cs="Arial"/>
          <w:b/>
          <w:bCs/>
          <w:color w:val="000000" w:themeColor="text1"/>
          <w:szCs w:val="22"/>
        </w:rPr>
        <w:t xml:space="preserve"> </w:t>
      </w:r>
      <w:r w:rsidRPr="5EBAAD4B">
        <w:rPr>
          <w:rFonts w:eastAsia="Arial" w:cs="Arial"/>
          <w:color w:val="000000" w:themeColor="text1"/>
          <w:szCs w:val="22"/>
        </w:rPr>
        <w:t xml:space="preserve">effective date 60 days after the first notification letter is sent. </w:t>
      </w:r>
    </w:p>
    <w:p w14:paraId="6D71DFBF" w14:textId="3AA39462" w:rsidR="4E14559D" w:rsidRDefault="4E14559D" w:rsidP="5EBAAD4B">
      <w:pPr>
        <w:rPr>
          <w:rFonts w:eastAsia="Calibri"/>
          <w:color w:val="000000" w:themeColor="text1"/>
          <w:szCs w:val="22"/>
        </w:rPr>
      </w:pPr>
      <w:r w:rsidRPr="5EBAAD4B">
        <w:rPr>
          <w:rFonts w:eastAsia="Arial" w:cs="Arial"/>
          <w:color w:val="000000" w:themeColor="text1"/>
          <w:szCs w:val="22"/>
        </w:rPr>
        <w:t>The 75% of market rent will continue to be charged until all the required documentation is provided.</w:t>
      </w:r>
    </w:p>
    <w:p w14:paraId="013C86D7" w14:textId="6FF0C89B" w:rsidR="006A6119" w:rsidRDefault="4737C631" w:rsidP="00C92277">
      <w:pPr>
        <w:pStyle w:val="Heading2"/>
      </w:pPr>
      <w:r w:rsidRPr="5EBAAD4B">
        <w:t xml:space="preserve">What happens if the household income changes? </w:t>
      </w:r>
    </w:p>
    <w:p w14:paraId="15E84703" w14:textId="460118F1" w:rsidR="5A33A977" w:rsidRDefault="5A33A977" w:rsidP="5EBAAD4B">
      <w:pPr>
        <w:spacing w:line="276" w:lineRule="auto"/>
      </w:pPr>
      <w:r w:rsidRPr="5EBAAD4B">
        <w:rPr>
          <w:rFonts w:eastAsia="Arial" w:cs="Arial"/>
          <w:color w:val="000000" w:themeColor="text1"/>
          <w:szCs w:val="22"/>
        </w:rPr>
        <w:t>The Leaseholder must inform HCT when household income changes so that the correct tenant contribution can be assessed and applied.  Your change in rent will be effective 14 days after your rent review has been completed.</w:t>
      </w:r>
    </w:p>
    <w:p w14:paraId="2E14951E" w14:textId="43F189BD" w:rsidR="5A33A977" w:rsidRDefault="5A33A977" w:rsidP="5EBAAD4B">
      <w:pPr>
        <w:spacing w:line="276" w:lineRule="auto"/>
      </w:pPr>
      <w:r w:rsidRPr="5EBAAD4B">
        <w:rPr>
          <w:rFonts w:eastAsia="Arial" w:cs="Arial"/>
          <w:b/>
          <w:bCs/>
          <w:color w:val="000000" w:themeColor="text1"/>
          <w:szCs w:val="22"/>
        </w:rPr>
        <w:t>NOTE;</w:t>
      </w:r>
      <w:r w:rsidRPr="5EBAAD4B">
        <w:rPr>
          <w:rFonts w:eastAsia="Arial" w:cs="Arial"/>
          <w:color w:val="000000" w:themeColor="text1"/>
          <w:szCs w:val="22"/>
        </w:rPr>
        <w:t xml:space="preserve"> Household members with fluctuating incomes cannot have a new rent assessment undertaken more than once per quarter. A minimum of 12 weeks income evidence is required before a re-assessment can be undertaken. </w:t>
      </w:r>
    </w:p>
    <w:p w14:paraId="594C6704" w14:textId="5573492A" w:rsidR="5A33A977" w:rsidRDefault="5A33A977" w:rsidP="5EBAAD4B">
      <w:pPr>
        <w:spacing w:line="276" w:lineRule="auto"/>
      </w:pPr>
      <w:r w:rsidRPr="5EBAAD4B">
        <w:rPr>
          <w:rFonts w:eastAsia="Arial" w:cs="Arial"/>
          <w:color w:val="000000" w:themeColor="text1"/>
          <w:szCs w:val="22"/>
        </w:rPr>
        <w:t xml:space="preserve">If </w:t>
      </w:r>
      <w:r w:rsidRPr="5EBAAD4B">
        <w:rPr>
          <w:rFonts w:eastAsia="Arial" w:cs="Arial"/>
          <w:sz w:val="24"/>
        </w:rPr>
        <w:t xml:space="preserve">HCT </w:t>
      </w:r>
      <w:r w:rsidRPr="5EBAAD4B">
        <w:rPr>
          <w:rFonts w:eastAsia="Arial" w:cs="Arial"/>
          <w:color w:val="000000" w:themeColor="text1"/>
          <w:szCs w:val="22"/>
        </w:rPr>
        <w:t>is notified later than 14 days of the change in the individual/household income, the change in the subsidised rent will be effective from the date the application was completed and all required documentation received.</w:t>
      </w:r>
    </w:p>
    <w:p w14:paraId="5131DBC7" w14:textId="77777777" w:rsidR="006A6119" w:rsidRDefault="4737C631" w:rsidP="00C92277">
      <w:pPr>
        <w:pStyle w:val="Heading2"/>
      </w:pPr>
      <w:r w:rsidRPr="5EBAAD4B">
        <w:t xml:space="preserve">Residents with Nil or No Income  </w:t>
      </w:r>
    </w:p>
    <w:p w14:paraId="5F4D5C97" w14:textId="0C5035FF" w:rsidR="1B25FFD6" w:rsidRDefault="1B25FFD6" w:rsidP="5EBAAD4B">
      <w:pPr>
        <w:spacing w:line="276" w:lineRule="auto"/>
      </w:pPr>
      <w:r w:rsidRPr="5EBAAD4B">
        <w:rPr>
          <w:rFonts w:eastAsia="Arial" w:cs="Arial"/>
          <w:color w:val="000000" w:themeColor="text1"/>
          <w:szCs w:val="22"/>
        </w:rPr>
        <w:t xml:space="preserve">Residents with no or nil income will be deemed to be receiving the relevant Centrelink benefit. </w:t>
      </w:r>
    </w:p>
    <w:p w14:paraId="6364900A" w14:textId="48C316FC" w:rsidR="1B25FFD6" w:rsidRDefault="1B25FFD6" w:rsidP="5EBAAD4B">
      <w:pPr>
        <w:spacing w:line="276" w:lineRule="auto"/>
      </w:pPr>
      <w:r w:rsidRPr="5EBAAD4B">
        <w:rPr>
          <w:rFonts w:eastAsia="Arial" w:cs="Arial"/>
          <w:color w:val="000000" w:themeColor="text1"/>
          <w:szCs w:val="22"/>
        </w:rPr>
        <w:lastRenderedPageBreak/>
        <w:t>If a resident has a preclusion period with Centrelink because they have been terminated from employment or are serving a “liquid assets waiting period”, HCT would deem their income to be the Centrelink income they would otherwise be entitled to, such as Job Seeker.</w:t>
      </w:r>
    </w:p>
    <w:p w14:paraId="6F7A56E8" w14:textId="03233298" w:rsidR="1B25FFD6" w:rsidRDefault="1B25FFD6" w:rsidP="5EBAAD4B">
      <w:pPr>
        <w:spacing w:line="276" w:lineRule="auto"/>
      </w:pPr>
      <w:r w:rsidRPr="5EBAAD4B">
        <w:rPr>
          <w:rFonts w:eastAsia="Arial" w:cs="Arial"/>
          <w:color w:val="000000" w:themeColor="text1"/>
          <w:szCs w:val="22"/>
        </w:rPr>
        <w:t>Residents in receipt of a compensation settlement may have a period of preclusion from receiving Centrelink benefits. In these instances, HCT will assess income to be the Centrelink income they would otherwise be entitled to had they not received the compensation settlement.</w:t>
      </w:r>
    </w:p>
    <w:p w14:paraId="4340F46A" w14:textId="2C1CFACB" w:rsidR="1B25FFD6" w:rsidRDefault="1B25FFD6" w:rsidP="5EBAAD4B">
      <w:pPr>
        <w:spacing w:line="276" w:lineRule="auto"/>
      </w:pPr>
      <w:r w:rsidRPr="5EBAAD4B">
        <w:rPr>
          <w:rFonts w:eastAsia="Arial" w:cs="Arial"/>
          <w:color w:val="000000" w:themeColor="text1"/>
          <w:szCs w:val="22"/>
        </w:rPr>
        <w:t>Residents in receipt of a statutory income benefit and travel overseas may have this income frozen while overseas. In these instances, HCT will assess income to be the Centrelink income they would otherwise be entitled to.</w:t>
      </w:r>
    </w:p>
    <w:p w14:paraId="5FD4D11E" w14:textId="4F50299C" w:rsidR="1B25FFD6" w:rsidRDefault="1B25FFD6" w:rsidP="5EBAAD4B">
      <w:pPr>
        <w:rPr>
          <w:rFonts w:eastAsia="Calibri"/>
          <w:color w:val="000000" w:themeColor="text1"/>
          <w:szCs w:val="22"/>
        </w:rPr>
      </w:pPr>
      <w:r w:rsidRPr="5EBAAD4B">
        <w:rPr>
          <w:rFonts w:eastAsia="Arial" w:cs="Arial"/>
          <w:color w:val="000000" w:themeColor="text1"/>
          <w:szCs w:val="22"/>
        </w:rPr>
        <w:t>Clients may have a reduced income if they have ‘breached’ Centrelink requirements by not seeking work or they are repaying a Centrelink debt. In these instances, the tenant contribution is calculated by assessing all deemed eligible income and full entitlements, including CRA</w:t>
      </w:r>
    </w:p>
    <w:p w14:paraId="1B88CD88" w14:textId="77777777" w:rsidR="006A6119" w:rsidRDefault="006A6119" w:rsidP="006A6119">
      <w:pPr>
        <w:pStyle w:val="Heading2"/>
      </w:pPr>
      <w:r>
        <w:t xml:space="preserve">Setting Special Rents </w:t>
      </w:r>
    </w:p>
    <w:p w14:paraId="6CADA25E" w14:textId="343075EB" w:rsidR="4737C631" w:rsidRDefault="4737C631" w:rsidP="5EBAAD4B">
      <w:pPr>
        <w:rPr>
          <w:rFonts w:eastAsia="Calibri"/>
          <w:szCs w:val="22"/>
        </w:rPr>
      </w:pPr>
      <w:r>
        <w:t>I</w:t>
      </w:r>
      <w:r w:rsidR="68AFFD31" w:rsidRPr="5EBAAD4B">
        <w:rPr>
          <w:rFonts w:eastAsia="Arial" w:cs="Arial"/>
          <w:szCs w:val="22"/>
        </w:rPr>
        <w:t xml:space="preserve"> In exceptional circumstances (e.g. For those in short term incarceration), the rent setting policy may not apply for a determined period and the tenant contribution may be calculated using another policy such as the Absence from Tenure Policy</w:t>
      </w:r>
    </w:p>
    <w:p w14:paraId="499FC55C" w14:textId="77777777" w:rsidR="006A6119" w:rsidRDefault="006A6119">
      <w:pPr>
        <w:spacing w:before="0" w:after="0"/>
        <w:rPr>
          <w:rFonts w:cs="Arial"/>
          <w:color w:val="000000"/>
          <w:szCs w:val="22"/>
        </w:rPr>
      </w:pPr>
      <w:r w:rsidRPr="5EBAAD4B">
        <w:rPr>
          <w:rFonts w:cs="Arial"/>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4451"/>
      </w:tblGrid>
      <w:tr w:rsidR="006A6119" w:rsidRPr="00843B3C" w14:paraId="787A8B01" w14:textId="77777777" w:rsidTr="5EBAAD4B">
        <w:trPr>
          <w:cnfStyle w:val="100000000000" w:firstRow="1" w:lastRow="0" w:firstColumn="0" w:lastColumn="0" w:oddVBand="0" w:evenVBand="0" w:oddHBand="0"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4451" w:type="dxa"/>
            <w:tcBorders>
              <w:right w:val="single" w:sz="4" w:space="0" w:color="auto"/>
            </w:tcBorders>
          </w:tcPr>
          <w:p w14:paraId="75C05190" w14:textId="5672F21D" w:rsidR="006A6119" w:rsidRPr="00843B3C" w:rsidRDefault="006A6119" w:rsidP="009F09D7">
            <w:pPr>
              <w:pStyle w:val="NormalWeb"/>
              <w:rPr>
                <w:rFonts w:ascii="Arial" w:hAnsi="Arial" w:cs="Arial"/>
                <w:color w:val="000000"/>
                <w:sz w:val="22"/>
                <w:szCs w:val="22"/>
              </w:rPr>
            </w:pPr>
          </w:p>
        </w:tc>
        <w:tc>
          <w:tcPr>
            <w:tcW w:w="4451" w:type="dxa"/>
            <w:tcBorders>
              <w:left w:val="single" w:sz="4" w:space="0" w:color="auto"/>
            </w:tcBorders>
          </w:tcPr>
          <w:p w14:paraId="6E060855" w14:textId="77777777" w:rsidR="006A6119" w:rsidRPr="00843B3C" w:rsidRDefault="006A6119" w:rsidP="009F09D7">
            <w:pPr>
              <w:pStyle w:val="NormalWeb"/>
              <w:cnfStyle w:val="100000000000" w:firstRow="1" w:lastRow="0" w:firstColumn="0" w:lastColumn="0" w:oddVBand="0" w:evenVBand="0" w:oddHBand="0" w:evenHBand="0" w:firstRowFirstColumn="0" w:firstRowLastColumn="0" w:lastRowFirstColumn="0" w:lastRowLastColumn="0"/>
              <w:rPr>
                <w:color w:val="000000"/>
                <w:sz w:val="27"/>
                <w:szCs w:val="27"/>
              </w:rPr>
            </w:pPr>
          </w:p>
        </w:tc>
      </w:tr>
      <w:tr w:rsidR="006A6119" w:rsidRPr="00843B3C" w14:paraId="5A4DB77E" w14:textId="77777777" w:rsidTr="5EBAAD4B">
        <w:trPr>
          <w:trHeight w:val="156"/>
        </w:trPr>
        <w:tc>
          <w:tcPr>
            <w:cnfStyle w:val="001000000000" w:firstRow="0" w:lastRow="0" w:firstColumn="1" w:lastColumn="0" w:oddVBand="0" w:evenVBand="0" w:oddHBand="0" w:evenHBand="0" w:firstRowFirstColumn="0" w:firstRowLastColumn="0" w:lastRowFirstColumn="0" w:lastRowLastColumn="0"/>
            <w:tcW w:w="4451" w:type="dxa"/>
            <w:tcBorders>
              <w:right w:val="single" w:sz="4" w:space="0" w:color="auto"/>
            </w:tcBorders>
          </w:tcPr>
          <w:p w14:paraId="10339562" w14:textId="77777777" w:rsidR="006A6119" w:rsidRPr="00843B3C" w:rsidRDefault="006A6119" w:rsidP="009F09D7">
            <w:pPr>
              <w:pStyle w:val="NormalWeb"/>
              <w:spacing w:before="240" w:beforeAutospacing="0" w:after="0" w:afterAutospacing="0"/>
              <w:rPr>
                <w:rFonts w:ascii="Arial" w:hAnsi="Arial" w:cs="Arial"/>
                <w:b/>
                <w:bCs/>
                <w:color w:val="000000"/>
                <w:sz w:val="22"/>
                <w:szCs w:val="22"/>
              </w:rPr>
            </w:pPr>
            <w:r w:rsidRPr="00843B3C">
              <w:rPr>
                <w:rFonts w:ascii="Arial" w:hAnsi="Arial" w:cs="Arial"/>
                <w:b/>
                <w:bCs/>
                <w:color w:val="000000"/>
                <w:sz w:val="22"/>
                <w:szCs w:val="22"/>
              </w:rPr>
              <w:t>Market rent</w:t>
            </w:r>
          </w:p>
          <w:p w14:paraId="25F6995C" w14:textId="77777777" w:rsidR="006A6119" w:rsidRPr="00843B3C" w:rsidRDefault="006A6119" w:rsidP="009F09D7">
            <w:pPr>
              <w:pStyle w:val="NormalWeb"/>
              <w:spacing w:before="0" w:beforeAutospacing="0"/>
              <w:rPr>
                <w:rFonts w:ascii="Arial" w:hAnsi="Arial" w:cs="Arial"/>
                <w:color w:val="000000"/>
                <w:sz w:val="22"/>
                <w:szCs w:val="22"/>
              </w:rPr>
            </w:pPr>
            <w:r w:rsidRPr="00843B3C">
              <w:rPr>
                <w:rFonts w:ascii="Arial" w:hAnsi="Arial" w:cs="Arial"/>
                <w:color w:val="000000"/>
                <w:sz w:val="22"/>
                <w:szCs w:val="22"/>
              </w:rPr>
              <w:t>Valued by valuer and discounted to 75%</w:t>
            </w:r>
          </w:p>
          <w:p w14:paraId="00662037" w14:textId="77777777" w:rsidR="006A6119" w:rsidRPr="00843B3C" w:rsidRDefault="006A6119" w:rsidP="009F09D7">
            <w:pPr>
              <w:pStyle w:val="NormalWeb"/>
              <w:spacing w:after="0" w:afterAutospacing="0"/>
              <w:rPr>
                <w:rFonts w:ascii="Arial" w:hAnsi="Arial" w:cs="Arial"/>
                <w:b/>
                <w:bCs/>
                <w:color w:val="000000"/>
                <w:sz w:val="22"/>
                <w:szCs w:val="22"/>
              </w:rPr>
            </w:pPr>
            <w:r w:rsidRPr="00843B3C">
              <w:rPr>
                <w:rFonts w:ascii="Arial" w:hAnsi="Arial" w:cs="Arial"/>
                <w:b/>
                <w:bCs/>
                <w:color w:val="000000"/>
                <w:sz w:val="22"/>
                <w:szCs w:val="22"/>
              </w:rPr>
              <w:t>25% of Primary Income</w:t>
            </w:r>
          </w:p>
          <w:p w14:paraId="68EE7D86" w14:textId="77777777" w:rsidR="006A6119" w:rsidRPr="00843B3C" w:rsidRDefault="006A6119" w:rsidP="009F09D7">
            <w:pPr>
              <w:pStyle w:val="NormalWeb"/>
              <w:spacing w:before="0" w:beforeAutospacing="0" w:after="0" w:afterAutospacing="0"/>
              <w:rPr>
                <w:rFonts w:ascii="Arial" w:hAnsi="Arial" w:cs="Arial"/>
                <w:color w:val="000000"/>
                <w:sz w:val="22"/>
                <w:szCs w:val="22"/>
              </w:rPr>
            </w:pPr>
            <w:r w:rsidRPr="00843B3C">
              <w:rPr>
                <w:rFonts w:ascii="Arial" w:hAnsi="Arial" w:cs="Arial"/>
                <w:color w:val="000000"/>
                <w:sz w:val="22"/>
                <w:szCs w:val="22"/>
              </w:rPr>
              <w:t>of each individual sharer’s primary income and/or 25% of</w:t>
            </w:r>
            <w:r>
              <w:rPr>
                <w:rFonts w:ascii="Arial" w:hAnsi="Arial" w:cs="Arial"/>
                <w:color w:val="000000"/>
                <w:sz w:val="22"/>
                <w:szCs w:val="22"/>
              </w:rPr>
              <w:t xml:space="preserve"> </w:t>
            </w:r>
            <w:r w:rsidRPr="00843B3C">
              <w:rPr>
                <w:rFonts w:ascii="Arial" w:hAnsi="Arial" w:cs="Arial"/>
                <w:color w:val="000000"/>
                <w:sz w:val="22"/>
                <w:szCs w:val="22"/>
              </w:rPr>
              <w:t>related, and</w:t>
            </w:r>
          </w:p>
          <w:p w14:paraId="20526995" w14:textId="77777777" w:rsidR="006A6119" w:rsidRPr="00843B3C" w:rsidRDefault="006A6119" w:rsidP="009F09D7">
            <w:pPr>
              <w:pStyle w:val="NormalWeb"/>
              <w:rPr>
                <w:rFonts w:ascii="Arial" w:hAnsi="Arial" w:cs="Arial"/>
                <w:b/>
                <w:bCs/>
                <w:color w:val="000000"/>
                <w:sz w:val="22"/>
                <w:szCs w:val="22"/>
              </w:rPr>
            </w:pPr>
            <w:r w:rsidRPr="00843B3C">
              <w:rPr>
                <w:rFonts w:ascii="Arial" w:hAnsi="Arial" w:cs="Arial"/>
                <w:b/>
                <w:bCs/>
                <w:color w:val="000000"/>
                <w:sz w:val="22"/>
                <w:szCs w:val="22"/>
              </w:rPr>
              <w:t>25% of Family Income</w:t>
            </w:r>
          </w:p>
          <w:p w14:paraId="14A92A36" w14:textId="77777777" w:rsidR="006A6119" w:rsidRPr="00843B3C" w:rsidRDefault="006A6119" w:rsidP="009F09D7">
            <w:pPr>
              <w:pStyle w:val="NormalWeb"/>
              <w:rPr>
                <w:rFonts w:ascii="Arial" w:hAnsi="Arial" w:cs="Arial"/>
                <w:color w:val="000000"/>
                <w:sz w:val="22"/>
                <w:szCs w:val="22"/>
              </w:rPr>
            </w:pPr>
            <w:r w:rsidRPr="00843B3C">
              <w:rPr>
                <w:rFonts w:ascii="Arial" w:hAnsi="Arial" w:cs="Arial"/>
                <w:color w:val="000000"/>
                <w:sz w:val="22"/>
                <w:szCs w:val="22"/>
              </w:rPr>
              <w:t>Family payments A and B, maintenance payments</w:t>
            </w:r>
          </w:p>
          <w:p w14:paraId="38C50C1F" w14:textId="77777777" w:rsidR="006A6119" w:rsidRPr="00843B3C" w:rsidRDefault="006A6119" w:rsidP="009F09D7">
            <w:pPr>
              <w:pStyle w:val="NormalWeb"/>
              <w:spacing w:after="0" w:afterAutospacing="0"/>
              <w:rPr>
                <w:rFonts w:ascii="Arial" w:hAnsi="Arial" w:cs="Arial"/>
                <w:b/>
                <w:bCs/>
                <w:color w:val="000000"/>
                <w:sz w:val="22"/>
                <w:szCs w:val="22"/>
              </w:rPr>
            </w:pPr>
            <w:r w:rsidRPr="00843B3C">
              <w:rPr>
                <w:rFonts w:ascii="Arial" w:hAnsi="Arial" w:cs="Arial"/>
                <w:b/>
                <w:bCs/>
                <w:color w:val="000000"/>
                <w:sz w:val="22"/>
                <w:szCs w:val="22"/>
              </w:rPr>
              <w:t>Commonwealth Rent Assistance</w:t>
            </w:r>
          </w:p>
          <w:p w14:paraId="068B2C25" w14:textId="47A152D6" w:rsidR="006A6119" w:rsidRPr="00843B3C" w:rsidRDefault="006A6119" w:rsidP="00F865AC">
            <w:pPr>
              <w:pStyle w:val="NormalWeb"/>
              <w:rPr>
                <w:rFonts w:ascii="Arial" w:hAnsi="Arial" w:cs="Arial"/>
                <w:color w:val="000000"/>
                <w:sz w:val="22"/>
                <w:szCs w:val="22"/>
              </w:rPr>
            </w:pPr>
            <w:r w:rsidRPr="00843B3C">
              <w:rPr>
                <w:rFonts w:ascii="Arial" w:hAnsi="Arial" w:cs="Arial"/>
                <w:color w:val="000000"/>
                <w:sz w:val="22"/>
                <w:szCs w:val="22"/>
              </w:rPr>
              <w:t>100% of the value of entitled Commonwealth Rent Assistance.</w:t>
            </w:r>
          </w:p>
        </w:tc>
        <w:tc>
          <w:tcPr>
            <w:tcW w:w="4451" w:type="dxa"/>
            <w:tcBorders>
              <w:left w:val="single" w:sz="4" w:space="0" w:color="auto"/>
            </w:tcBorders>
          </w:tcPr>
          <w:p w14:paraId="24292A6F" w14:textId="77777777" w:rsidR="006A6119" w:rsidRPr="00843B3C" w:rsidRDefault="006A6119" w:rsidP="009F09D7">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843B3C">
              <w:rPr>
                <w:rFonts w:ascii="Arial" w:hAnsi="Arial" w:cs="Arial"/>
                <w:color w:val="000000"/>
                <w:sz w:val="22"/>
                <w:szCs w:val="22"/>
              </w:rPr>
              <w:t>Rental contributions should not exceed 75% of the deemed market rent.</w:t>
            </w:r>
          </w:p>
        </w:tc>
      </w:tr>
      <w:tr w:rsidR="006A6119" w:rsidRPr="00843B3C" w14:paraId="6558E05F" w14:textId="77777777" w:rsidTr="5EBAAD4B">
        <w:trPr>
          <w:trHeight w:val="156"/>
        </w:trPr>
        <w:tc>
          <w:tcPr>
            <w:cnfStyle w:val="001000000000" w:firstRow="0" w:lastRow="0" w:firstColumn="1" w:lastColumn="0" w:oddVBand="0" w:evenVBand="0" w:oddHBand="0" w:evenHBand="0" w:firstRowFirstColumn="0" w:firstRowLastColumn="0" w:lastRowFirstColumn="0" w:lastRowLastColumn="0"/>
            <w:tcW w:w="4451" w:type="dxa"/>
            <w:tcBorders>
              <w:right w:val="single" w:sz="4" w:space="0" w:color="auto"/>
            </w:tcBorders>
          </w:tcPr>
          <w:p w14:paraId="72854E70" w14:textId="77777777" w:rsidR="006A6119" w:rsidRPr="00843B3C" w:rsidRDefault="006A6119" w:rsidP="009F09D7">
            <w:pPr>
              <w:pStyle w:val="NormalWeb"/>
              <w:rPr>
                <w:rFonts w:ascii="Arial" w:hAnsi="Arial" w:cs="Arial"/>
                <w:color w:val="000000"/>
                <w:sz w:val="22"/>
                <w:szCs w:val="22"/>
              </w:rPr>
            </w:pPr>
            <w:r w:rsidRPr="00843B3C">
              <w:rPr>
                <w:rFonts w:ascii="Arial" w:hAnsi="Arial" w:cs="Arial"/>
                <w:color w:val="000000"/>
                <w:sz w:val="22"/>
                <w:szCs w:val="22"/>
              </w:rPr>
              <w:t>BHF Properties</w:t>
            </w:r>
          </w:p>
        </w:tc>
        <w:tc>
          <w:tcPr>
            <w:tcW w:w="4451" w:type="dxa"/>
            <w:tcBorders>
              <w:left w:val="single" w:sz="4" w:space="0" w:color="auto"/>
            </w:tcBorders>
          </w:tcPr>
          <w:p w14:paraId="7F1F0D94" w14:textId="77777777" w:rsidR="006A6119" w:rsidRPr="00843B3C" w:rsidRDefault="006A6119" w:rsidP="009F09D7">
            <w:pPr>
              <w:pStyle w:val="NormalWeb"/>
              <w:cnfStyle w:val="000000000000" w:firstRow="0" w:lastRow="0" w:firstColumn="0" w:lastColumn="0" w:oddVBand="0" w:evenVBand="0" w:oddHBand="0" w:evenHBand="0" w:firstRowFirstColumn="0" w:firstRowLastColumn="0" w:lastRowFirstColumn="0" w:lastRowLastColumn="0"/>
              <w:rPr>
                <w:color w:val="000000"/>
                <w:sz w:val="27"/>
                <w:szCs w:val="27"/>
              </w:rPr>
            </w:pPr>
          </w:p>
        </w:tc>
      </w:tr>
      <w:tr w:rsidR="006A6119" w:rsidRPr="00843B3C" w14:paraId="6D7059BA" w14:textId="77777777" w:rsidTr="5EBAAD4B">
        <w:trPr>
          <w:trHeight w:val="156"/>
        </w:trPr>
        <w:tc>
          <w:tcPr>
            <w:cnfStyle w:val="001000000000" w:firstRow="0" w:lastRow="0" w:firstColumn="1" w:lastColumn="0" w:oddVBand="0" w:evenVBand="0" w:oddHBand="0" w:evenHBand="0" w:firstRowFirstColumn="0" w:firstRowLastColumn="0" w:lastRowFirstColumn="0" w:lastRowLastColumn="0"/>
            <w:tcW w:w="4451" w:type="dxa"/>
            <w:tcBorders>
              <w:right w:val="single" w:sz="4" w:space="0" w:color="auto"/>
            </w:tcBorders>
          </w:tcPr>
          <w:p w14:paraId="1DA49539" w14:textId="77777777" w:rsidR="006A6119" w:rsidRPr="00843B3C" w:rsidRDefault="006A6119" w:rsidP="009F09D7">
            <w:pPr>
              <w:pStyle w:val="NormalWeb"/>
              <w:spacing w:before="0" w:beforeAutospacing="0" w:after="0" w:afterAutospacing="0"/>
              <w:rPr>
                <w:rFonts w:ascii="Arial" w:hAnsi="Arial" w:cs="Arial"/>
                <w:b/>
                <w:bCs/>
                <w:color w:val="000000"/>
                <w:sz w:val="22"/>
                <w:szCs w:val="22"/>
              </w:rPr>
            </w:pPr>
            <w:r w:rsidRPr="00843B3C">
              <w:rPr>
                <w:rFonts w:ascii="Arial" w:hAnsi="Arial" w:cs="Arial"/>
                <w:b/>
                <w:bCs/>
                <w:color w:val="000000"/>
                <w:sz w:val="22"/>
                <w:szCs w:val="22"/>
              </w:rPr>
              <w:t>25% of Primary Income</w:t>
            </w:r>
          </w:p>
          <w:p w14:paraId="4DFD7716" w14:textId="77777777" w:rsidR="006A6119" w:rsidRDefault="006A6119" w:rsidP="009F09D7">
            <w:pPr>
              <w:pStyle w:val="NormalWeb"/>
              <w:spacing w:before="0" w:beforeAutospacing="0"/>
              <w:rPr>
                <w:rFonts w:ascii="Arial" w:hAnsi="Arial" w:cs="Arial"/>
                <w:color w:val="000000"/>
                <w:sz w:val="22"/>
                <w:szCs w:val="22"/>
              </w:rPr>
            </w:pPr>
            <w:r w:rsidRPr="00843B3C">
              <w:rPr>
                <w:rFonts w:ascii="Arial" w:hAnsi="Arial" w:cs="Arial"/>
                <w:color w:val="000000"/>
                <w:sz w:val="22"/>
                <w:szCs w:val="22"/>
              </w:rPr>
              <w:t>of household members primary income</w:t>
            </w:r>
          </w:p>
          <w:p w14:paraId="0FCE567F" w14:textId="77777777" w:rsidR="006A6119" w:rsidRPr="00843B3C" w:rsidRDefault="006A6119" w:rsidP="009F09D7">
            <w:pPr>
              <w:pStyle w:val="NormalWeb"/>
              <w:spacing w:before="0" w:beforeAutospacing="0" w:after="0" w:afterAutospacing="0"/>
              <w:rPr>
                <w:rFonts w:ascii="Arial" w:hAnsi="Arial" w:cs="Arial"/>
                <w:b/>
                <w:bCs/>
                <w:sz w:val="22"/>
                <w:szCs w:val="22"/>
              </w:rPr>
            </w:pPr>
            <w:r w:rsidRPr="00843B3C">
              <w:rPr>
                <w:rFonts w:ascii="Arial" w:hAnsi="Arial" w:cs="Arial"/>
                <w:b/>
                <w:bCs/>
                <w:sz w:val="22"/>
                <w:szCs w:val="22"/>
              </w:rPr>
              <w:t>25% of Family Income – if were not previous tenants</w:t>
            </w:r>
            <w:r>
              <w:rPr>
                <w:rFonts w:ascii="Arial" w:hAnsi="Arial" w:cs="Arial"/>
                <w:b/>
                <w:bCs/>
                <w:sz w:val="22"/>
                <w:szCs w:val="22"/>
              </w:rPr>
              <w:t xml:space="preserve"> </w:t>
            </w:r>
            <w:r w:rsidRPr="00843B3C">
              <w:rPr>
                <w:rFonts w:ascii="Arial" w:hAnsi="Arial" w:cs="Arial"/>
                <w:b/>
                <w:bCs/>
                <w:sz w:val="22"/>
                <w:szCs w:val="22"/>
              </w:rPr>
              <w:t>of H</w:t>
            </w:r>
            <w:r>
              <w:rPr>
                <w:rFonts w:ascii="Arial" w:hAnsi="Arial" w:cs="Arial"/>
                <w:b/>
                <w:bCs/>
                <w:sz w:val="22"/>
                <w:szCs w:val="22"/>
              </w:rPr>
              <w:t xml:space="preserve">ousing Tasmania </w:t>
            </w:r>
          </w:p>
          <w:p w14:paraId="79D8EEE5" w14:textId="77777777" w:rsidR="006A6119" w:rsidRPr="00843B3C" w:rsidRDefault="006A6119" w:rsidP="009F09D7">
            <w:pPr>
              <w:pStyle w:val="NormalWeb"/>
              <w:spacing w:before="0" w:beforeAutospacing="0"/>
              <w:rPr>
                <w:rFonts w:ascii="Arial" w:hAnsi="Arial" w:cs="Arial"/>
                <w:color w:val="000000"/>
                <w:sz w:val="22"/>
                <w:szCs w:val="22"/>
              </w:rPr>
            </w:pPr>
            <w:r w:rsidRPr="00843B3C">
              <w:rPr>
                <w:rFonts w:ascii="Arial" w:hAnsi="Arial" w:cs="Arial"/>
                <w:color w:val="000000"/>
                <w:sz w:val="22"/>
                <w:szCs w:val="22"/>
              </w:rPr>
              <w:t>Family payments A and B, maintenance payments</w:t>
            </w:r>
          </w:p>
          <w:p w14:paraId="1251C034" w14:textId="77777777" w:rsidR="006A6119" w:rsidRPr="00843B3C" w:rsidRDefault="006A6119" w:rsidP="009F09D7">
            <w:pPr>
              <w:pStyle w:val="NormalWeb"/>
              <w:spacing w:before="0" w:beforeAutospacing="0" w:after="0" w:afterAutospacing="0"/>
              <w:rPr>
                <w:rFonts w:ascii="Arial" w:hAnsi="Arial" w:cs="Arial"/>
                <w:b/>
                <w:bCs/>
                <w:color w:val="000000"/>
                <w:sz w:val="22"/>
                <w:szCs w:val="22"/>
              </w:rPr>
            </w:pPr>
            <w:r w:rsidRPr="00843B3C">
              <w:rPr>
                <w:rFonts w:ascii="Arial" w:hAnsi="Arial" w:cs="Arial"/>
                <w:b/>
                <w:bCs/>
                <w:color w:val="000000"/>
                <w:sz w:val="22"/>
                <w:szCs w:val="22"/>
              </w:rPr>
              <w:t>15% of Family Income – if were previous tenants of Housing Tasmania</w:t>
            </w:r>
          </w:p>
          <w:p w14:paraId="65474BDA" w14:textId="77777777" w:rsidR="006A6119" w:rsidRPr="00843B3C" w:rsidRDefault="006A6119" w:rsidP="009F09D7">
            <w:pPr>
              <w:pStyle w:val="NormalWeb"/>
              <w:spacing w:before="0" w:beforeAutospacing="0"/>
              <w:rPr>
                <w:rFonts w:ascii="Arial" w:hAnsi="Arial" w:cs="Arial"/>
                <w:color w:val="000000"/>
                <w:sz w:val="22"/>
                <w:szCs w:val="22"/>
              </w:rPr>
            </w:pPr>
            <w:r w:rsidRPr="00843B3C">
              <w:rPr>
                <w:rFonts w:ascii="Arial" w:hAnsi="Arial" w:cs="Arial"/>
                <w:color w:val="000000"/>
                <w:sz w:val="22"/>
                <w:szCs w:val="22"/>
              </w:rPr>
              <w:t>Family payments A and B, maintenance payments</w:t>
            </w:r>
          </w:p>
          <w:p w14:paraId="7B35D68A" w14:textId="77777777" w:rsidR="006A6119" w:rsidRPr="00843B3C" w:rsidRDefault="006A6119" w:rsidP="009F09D7">
            <w:pPr>
              <w:pStyle w:val="NormalWeb"/>
              <w:spacing w:before="0" w:beforeAutospacing="0" w:after="0" w:afterAutospacing="0"/>
              <w:rPr>
                <w:rFonts w:ascii="Arial" w:hAnsi="Arial" w:cs="Arial"/>
                <w:b/>
                <w:bCs/>
                <w:color w:val="000000"/>
                <w:sz w:val="22"/>
                <w:szCs w:val="22"/>
              </w:rPr>
            </w:pPr>
            <w:r w:rsidRPr="00843B3C">
              <w:rPr>
                <w:rFonts w:ascii="Arial" w:hAnsi="Arial" w:cs="Arial"/>
                <w:b/>
                <w:bCs/>
                <w:color w:val="000000"/>
                <w:sz w:val="22"/>
                <w:szCs w:val="22"/>
              </w:rPr>
              <w:t>Commonwealth Rent Assistance</w:t>
            </w:r>
          </w:p>
          <w:p w14:paraId="5B745EFF" w14:textId="77777777" w:rsidR="006A6119" w:rsidRPr="00843B3C" w:rsidRDefault="006A6119" w:rsidP="009F09D7">
            <w:pPr>
              <w:pStyle w:val="NormalWeb"/>
              <w:spacing w:before="0" w:beforeAutospacing="0" w:after="0" w:afterAutospacing="0"/>
              <w:rPr>
                <w:rFonts w:ascii="Arial" w:hAnsi="Arial" w:cs="Arial"/>
                <w:color w:val="000000"/>
                <w:sz w:val="22"/>
                <w:szCs w:val="22"/>
              </w:rPr>
            </w:pPr>
            <w:r w:rsidRPr="00843B3C">
              <w:rPr>
                <w:rFonts w:ascii="Arial" w:hAnsi="Arial" w:cs="Arial"/>
                <w:color w:val="000000"/>
                <w:sz w:val="22"/>
                <w:szCs w:val="22"/>
              </w:rPr>
              <w:t>100% of the value of entitle</w:t>
            </w:r>
            <w:r>
              <w:rPr>
                <w:rFonts w:ascii="Arial" w:hAnsi="Arial" w:cs="Arial"/>
                <w:color w:val="000000"/>
                <w:sz w:val="22"/>
                <w:szCs w:val="22"/>
              </w:rPr>
              <w:t xml:space="preserve">d </w:t>
            </w:r>
            <w:r w:rsidRPr="00843B3C">
              <w:rPr>
                <w:rFonts w:ascii="Arial" w:hAnsi="Arial" w:cs="Arial"/>
                <w:color w:val="000000"/>
                <w:sz w:val="22"/>
                <w:szCs w:val="22"/>
              </w:rPr>
              <w:t>Commonwealth Rent</w:t>
            </w:r>
            <w:r>
              <w:rPr>
                <w:rFonts w:ascii="Arial" w:hAnsi="Arial" w:cs="Arial"/>
                <w:color w:val="000000"/>
                <w:sz w:val="22"/>
                <w:szCs w:val="22"/>
              </w:rPr>
              <w:t xml:space="preserve"> Assistance </w:t>
            </w:r>
          </w:p>
        </w:tc>
        <w:tc>
          <w:tcPr>
            <w:tcW w:w="4451" w:type="dxa"/>
            <w:tcBorders>
              <w:left w:val="single" w:sz="4" w:space="0" w:color="auto"/>
            </w:tcBorders>
          </w:tcPr>
          <w:p w14:paraId="1A6D4803" w14:textId="77777777" w:rsidR="006A6119" w:rsidRPr="00843B3C" w:rsidRDefault="006A6119" w:rsidP="009F09D7">
            <w:pPr>
              <w:pStyle w:val="NormalWeb"/>
              <w:cnfStyle w:val="000000000000" w:firstRow="0" w:lastRow="0" w:firstColumn="0" w:lastColumn="0" w:oddVBand="0" w:evenVBand="0" w:oddHBand="0" w:evenHBand="0" w:firstRowFirstColumn="0" w:firstRowLastColumn="0" w:lastRowFirstColumn="0" w:lastRowLastColumn="0"/>
              <w:rPr>
                <w:color w:val="000000"/>
                <w:sz w:val="27"/>
                <w:szCs w:val="27"/>
              </w:rPr>
            </w:pPr>
            <w:r w:rsidRPr="00843B3C">
              <w:rPr>
                <w:rFonts w:ascii="Arial" w:hAnsi="Arial" w:cs="Arial"/>
                <w:color w:val="000000"/>
                <w:sz w:val="22"/>
                <w:szCs w:val="22"/>
              </w:rPr>
              <w:t>If income assessed rent equates to more than 74.99% of market rent, the rent will be capped at the discounted market rent</w:t>
            </w:r>
          </w:p>
        </w:tc>
      </w:tr>
    </w:tbl>
    <w:p w14:paraId="6D24329C" w14:textId="77777777" w:rsidR="009020A4" w:rsidRDefault="009020A4" w:rsidP="009020A4">
      <w:pPr>
        <w:pStyle w:val="Heading1"/>
      </w:pPr>
      <w:r w:rsidRPr="00407F1D">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9020A4" w:rsidRPr="001063C3" w14:paraId="2D4C94A9" w14:textId="77777777" w:rsidTr="00837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20B68778" w14:textId="77777777" w:rsidR="009020A4" w:rsidRPr="00F02594" w:rsidRDefault="009020A4" w:rsidP="008375CA">
            <w:pPr>
              <w:spacing w:before="20" w:after="20" w:line="259" w:lineRule="auto"/>
              <w:jc w:val="center"/>
              <w:rPr>
                <w:rFonts w:cs="Arial"/>
                <w:color w:val="auto"/>
                <w:sz w:val="18"/>
                <w:szCs w:val="18"/>
                <w:lang w:val="en-US"/>
              </w:rPr>
            </w:pPr>
            <w:r w:rsidRPr="00F02594">
              <w:rPr>
                <w:rFonts w:cs="Arial"/>
                <w:color w:val="auto"/>
                <w:lang w:val="en-US"/>
              </w:rPr>
              <w:t>legislation &amp; Standards</w:t>
            </w:r>
          </w:p>
        </w:tc>
        <w:tc>
          <w:tcPr>
            <w:tcW w:w="4673" w:type="dxa"/>
            <w:tcMar>
              <w:top w:w="0" w:type="dxa"/>
              <w:left w:w="108" w:type="dxa"/>
              <w:bottom w:w="28" w:type="dxa"/>
              <w:right w:w="108" w:type="dxa"/>
            </w:tcMar>
            <w:hideMark/>
          </w:tcPr>
          <w:p w14:paraId="1577BAF9" w14:textId="77777777" w:rsidR="009020A4" w:rsidRPr="00F02594" w:rsidRDefault="009020A4" w:rsidP="008375CA">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02594">
              <w:rPr>
                <w:rFonts w:cs="Arial"/>
                <w:color w:val="auto"/>
                <w:lang w:val="en-US"/>
              </w:rPr>
              <w:t>Related INternal documents</w:t>
            </w:r>
          </w:p>
        </w:tc>
      </w:tr>
      <w:tr w:rsidR="009020A4" w:rsidRPr="001063C3" w14:paraId="1DBA8DD3" w14:textId="77777777" w:rsidTr="008375CA">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278DCBDD" w14:textId="77777777" w:rsidR="009020A4" w:rsidRPr="00C92277" w:rsidRDefault="009020A4" w:rsidP="00C92277">
            <w:pPr>
              <w:pStyle w:val="ListParagraph"/>
              <w:numPr>
                <w:ilvl w:val="0"/>
                <w:numId w:val="21"/>
              </w:numPr>
            </w:pPr>
            <w:r w:rsidRPr="00C92277">
              <w:rPr>
                <w:rFonts w:eastAsia="Arial"/>
              </w:rPr>
              <w:t>Residential Tenancy Act, TAS 1997</w:t>
            </w:r>
          </w:p>
          <w:p w14:paraId="05D29EC7" w14:textId="77777777" w:rsidR="009020A4" w:rsidRPr="00C92277" w:rsidRDefault="009020A4" w:rsidP="00C92277">
            <w:pPr>
              <w:pStyle w:val="ListParagraph"/>
              <w:numPr>
                <w:ilvl w:val="0"/>
                <w:numId w:val="21"/>
              </w:numPr>
            </w:pPr>
            <w:r w:rsidRPr="00C92277">
              <w:rPr>
                <w:rFonts w:eastAsia="Arial"/>
              </w:rPr>
              <w:t>Rent Setting and Rent Review Procedure-TAS</w:t>
            </w:r>
          </w:p>
          <w:p w14:paraId="6DEFE5B1" w14:textId="724434D4" w:rsidR="009020A4" w:rsidRPr="00AB7E86" w:rsidRDefault="009020A4" w:rsidP="00AB7E86">
            <w:pPr>
              <w:pStyle w:val="ListParagraph"/>
              <w:numPr>
                <w:ilvl w:val="0"/>
                <w:numId w:val="21"/>
              </w:numPr>
              <w:rPr>
                <w:rFonts w:cs="Arial"/>
                <w:i/>
                <w:iCs/>
                <w:lang w:val="en-US"/>
              </w:rPr>
            </w:pPr>
            <w:r w:rsidRPr="00C92277">
              <w:rPr>
                <w:rFonts w:eastAsia="Arial"/>
              </w:rPr>
              <w:t>ATO- Benchmarking rents</w:t>
            </w:r>
          </w:p>
        </w:tc>
        <w:tc>
          <w:tcPr>
            <w:tcW w:w="4673" w:type="dxa"/>
            <w:tcMar>
              <w:top w:w="0" w:type="dxa"/>
              <w:left w:w="108" w:type="dxa"/>
              <w:bottom w:w="28" w:type="dxa"/>
              <w:right w:w="108" w:type="dxa"/>
            </w:tcMar>
          </w:tcPr>
          <w:p w14:paraId="47D477E8" w14:textId="77777777" w:rsidR="00C92277" w:rsidRPr="00C92277" w:rsidRDefault="00C92277" w:rsidP="00C92277">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C92277">
              <w:rPr>
                <w:rFonts w:eastAsia="Arial"/>
              </w:rPr>
              <w:t xml:space="preserve">Household Composition Form </w:t>
            </w:r>
          </w:p>
          <w:p w14:paraId="274BB063" w14:textId="1D51D8E7" w:rsidR="009020A4" w:rsidRPr="00C92277" w:rsidRDefault="00C92277" w:rsidP="00C92277">
            <w:pPr>
              <w:pStyle w:val="ListParagraph"/>
              <w:numPr>
                <w:ilvl w:val="0"/>
                <w:numId w:val="21"/>
              </w:num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r w:rsidRPr="00C92277">
              <w:rPr>
                <w:rFonts w:eastAsia="Arial"/>
              </w:rPr>
              <w:t>Centrelink Authority Forms</w:t>
            </w:r>
            <w:r w:rsidRPr="00C92277" w:rsidDel="00C92277">
              <w:rPr>
                <w:rFonts w:cs="Arial"/>
                <w:lang w:val="en-US" w:eastAsia="en-AU"/>
              </w:rPr>
              <w:t xml:space="preserve"> </w:t>
            </w:r>
          </w:p>
        </w:tc>
      </w:tr>
    </w:tbl>
    <w:p w14:paraId="18DF928C" w14:textId="77777777" w:rsidR="009020A4" w:rsidRDefault="009020A4" w:rsidP="00C92277">
      <w:pPr>
        <w:pStyle w:val="Heading2"/>
      </w:pPr>
      <w:r>
        <w:t>Glossary</w:t>
      </w:r>
    </w:p>
    <w:p w14:paraId="33285272" w14:textId="51CE1AC8" w:rsidR="001F0BB2" w:rsidRDefault="009020A4" w:rsidP="009020A4">
      <w:r>
        <w:rPr>
          <w:lang w:val="en-AU" w:eastAsia="en-AU"/>
        </w:rPr>
        <w:t>[add terms specific to this policy/delete section if not appropriate]</w:t>
      </w:r>
    </w:p>
    <w:p w14:paraId="0CA01E5A" w14:textId="77777777" w:rsidR="00FE10D0" w:rsidRPr="00407F1D" w:rsidRDefault="00FE10D0" w:rsidP="00962792">
      <w:pPr>
        <w:rPr>
          <w:lang w:val="en-AU" w:eastAsia="en-AU"/>
        </w:rPr>
      </w:pPr>
    </w:p>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Pr>
          <w:noProof/>
        </w:rPr>
        <w:lastRenderedPageBreak/>
        <w:drawing>
          <wp:inline distT="0" distB="0" distL="0" distR="0" wp14:anchorId="5C6DACD4" wp14:editId="3E0DBCF8">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923925" cy="524957"/>
                    </a:xfrm>
                    <a:prstGeom prst="rect">
                      <a:avLst/>
                    </a:prstGeom>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17"/>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6CD14" w14:textId="77777777" w:rsidR="009778E0" w:rsidRDefault="009778E0" w:rsidP="00BC5A00">
      <w:r>
        <w:separator/>
      </w:r>
    </w:p>
  </w:endnote>
  <w:endnote w:type="continuationSeparator" w:id="0">
    <w:p w14:paraId="55C8460F" w14:textId="77777777" w:rsidR="009778E0" w:rsidRDefault="009778E0" w:rsidP="00BC5A00">
      <w:r>
        <w:continuationSeparator/>
      </w:r>
    </w:p>
  </w:endnote>
  <w:endnote w:type="continuationNotice" w:id="1">
    <w:p w14:paraId="1C1A605C" w14:textId="77777777" w:rsidR="009778E0" w:rsidRDefault="009778E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rPr>
      <w:drawing>
        <wp:anchor distT="0" distB="0" distL="114300" distR="114300" simplePos="0" relativeHeight="251658241" behindDoc="1" locked="0" layoutInCell="1" allowOverlap="1" wp14:anchorId="7048EA66" wp14:editId="30FB1088">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2BA0" w14:textId="77777777" w:rsidR="009778E0" w:rsidRDefault="009778E0" w:rsidP="00BC5A00">
      <w:r>
        <w:separator/>
      </w:r>
    </w:p>
  </w:footnote>
  <w:footnote w:type="continuationSeparator" w:id="0">
    <w:p w14:paraId="351D26A6" w14:textId="77777777" w:rsidR="009778E0" w:rsidRDefault="009778E0" w:rsidP="00BC5A00">
      <w:r>
        <w:continuationSeparator/>
      </w:r>
    </w:p>
  </w:footnote>
  <w:footnote w:type="continuationNotice" w:id="1">
    <w:p w14:paraId="21B60340" w14:textId="77777777" w:rsidR="009778E0" w:rsidRDefault="009778E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0F8BF225" w14:textId="6FE1AC73" w:rsidR="0089331B" w:rsidRDefault="00D0333E">
        <w:pPr>
          <w:pStyle w:val="Header"/>
        </w:pPr>
        <w:r>
          <w:rPr>
            <w:noProof/>
          </w:rPr>
          <mc:AlternateContent>
            <mc:Choice Requires="wps">
              <w:drawing>
                <wp:anchor distT="0" distB="0" distL="114300" distR="114300" simplePos="0" relativeHeight="251658242"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8E2"/>
    <w:multiLevelType w:val="hybridMultilevel"/>
    <w:tmpl w:val="4EEA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D0742"/>
    <w:multiLevelType w:val="hybridMultilevel"/>
    <w:tmpl w:val="43FEB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14D83"/>
    <w:multiLevelType w:val="hybridMultilevel"/>
    <w:tmpl w:val="D438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96817"/>
    <w:multiLevelType w:val="hybridMultilevel"/>
    <w:tmpl w:val="EE361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13428"/>
    <w:multiLevelType w:val="hybridMultilevel"/>
    <w:tmpl w:val="45C89C1C"/>
    <w:lvl w:ilvl="0" w:tplc="652246A8">
      <w:start w:val="1"/>
      <w:numFmt w:val="bullet"/>
      <w:lvlText w:val="§"/>
      <w:lvlJc w:val="left"/>
      <w:pPr>
        <w:ind w:left="720" w:hanging="360"/>
      </w:pPr>
      <w:rPr>
        <w:rFonts w:ascii="Wingdings" w:hAnsi="Wingdings" w:hint="default"/>
      </w:rPr>
    </w:lvl>
    <w:lvl w:ilvl="1" w:tplc="2DEC20F0">
      <w:start w:val="1"/>
      <w:numFmt w:val="bullet"/>
      <w:lvlText w:val="o"/>
      <w:lvlJc w:val="left"/>
      <w:pPr>
        <w:ind w:left="1440" w:hanging="360"/>
      </w:pPr>
      <w:rPr>
        <w:rFonts w:ascii="Courier New" w:hAnsi="Courier New" w:hint="default"/>
      </w:rPr>
    </w:lvl>
    <w:lvl w:ilvl="2" w:tplc="0A3CE58C">
      <w:start w:val="1"/>
      <w:numFmt w:val="bullet"/>
      <w:lvlText w:val=""/>
      <w:lvlJc w:val="left"/>
      <w:pPr>
        <w:ind w:left="2160" w:hanging="360"/>
      </w:pPr>
      <w:rPr>
        <w:rFonts w:ascii="Wingdings" w:hAnsi="Wingdings" w:hint="default"/>
      </w:rPr>
    </w:lvl>
    <w:lvl w:ilvl="3" w:tplc="D6AAC972">
      <w:start w:val="1"/>
      <w:numFmt w:val="bullet"/>
      <w:lvlText w:val=""/>
      <w:lvlJc w:val="left"/>
      <w:pPr>
        <w:ind w:left="2880" w:hanging="360"/>
      </w:pPr>
      <w:rPr>
        <w:rFonts w:ascii="Symbol" w:hAnsi="Symbol" w:hint="default"/>
      </w:rPr>
    </w:lvl>
    <w:lvl w:ilvl="4" w:tplc="A7920068">
      <w:start w:val="1"/>
      <w:numFmt w:val="bullet"/>
      <w:lvlText w:val="o"/>
      <w:lvlJc w:val="left"/>
      <w:pPr>
        <w:ind w:left="3600" w:hanging="360"/>
      </w:pPr>
      <w:rPr>
        <w:rFonts w:ascii="Courier New" w:hAnsi="Courier New" w:hint="default"/>
      </w:rPr>
    </w:lvl>
    <w:lvl w:ilvl="5" w:tplc="147A092A">
      <w:start w:val="1"/>
      <w:numFmt w:val="bullet"/>
      <w:lvlText w:val=""/>
      <w:lvlJc w:val="left"/>
      <w:pPr>
        <w:ind w:left="4320" w:hanging="360"/>
      </w:pPr>
      <w:rPr>
        <w:rFonts w:ascii="Wingdings" w:hAnsi="Wingdings" w:hint="default"/>
      </w:rPr>
    </w:lvl>
    <w:lvl w:ilvl="6" w:tplc="DF22A5C4">
      <w:start w:val="1"/>
      <w:numFmt w:val="bullet"/>
      <w:lvlText w:val=""/>
      <w:lvlJc w:val="left"/>
      <w:pPr>
        <w:ind w:left="5040" w:hanging="360"/>
      </w:pPr>
      <w:rPr>
        <w:rFonts w:ascii="Symbol" w:hAnsi="Symbol" w:hint="default"/>
      </w:rPr>
    </w:lvl>
    <w:lvl w:ilvl="7" w:tplc="E452DAE4">
      <w:start w:val="1"/>
      <w:numFmt w:val="bullet"/>
      <w:lvlText w:val="o"/>
      <w:lvlJc w:val="left"/>
      <w:pPr>
        <w:ind w:left="5760" w:hanging="360"/>
      </w:pPr>
      <w:rPr>
        <w:rFonts w:ascii="Courier New" w:hAnsi="Courier New" w:hint="default"/>
      </w:rPr>
    </w:lvl>
    <w:lvl w:ilvl="8" w:tplc="1536308A">
      <w:start w:val="1"/>
      <w:numFmt w:val="bullet"/>
      <w:lvlText w:val=""/>
      <w:lvlJc w:val="left"/>
      <w:pPr>
        <w:ind w:left="6480" w:hanging="360"/>
      </w:pPr>
      <w:rPr>
        <w:rFonts w:ascii="Wingdings" w:hAnsi="Wingdings" w:hint="default"/>
      </w:rPr>
    </w:lvl>
  </w:abstractNum>
  <w:abstractNum w:abstractNumId="5" w15:restartNumberingAfterBreak="0">
    <w:nsid w:val="1C0F1D85"/>
    <w:multiLevelType w:val="hybridMultilevel"/>
    <w:tmpl w:val="383E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95E7B"/>
    <w:multiLevelType w:val="hybridMultilevel"/>
    <w:tmpl w:val="D848E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F075C"/>
    <w:multiLevelType w:val="hybridMultilevel"/>
    <w:tmpl w:val="0A6C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920903"/>
    <w:multiLevelType w:val="hybridMultilevel"/>
    <w:tmpl w:val="9C0AC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E61079"/>
    <w:multiLevelType w:val="hybridMultilevel"/>
    <w:tmpl w:val="57B06718"/>
    <w:lvl w:ilvl="0" w:tplc="A470C6C8">
      <w:start w:val="1"/>
      <w:numFmt w:val="bullet"/>
      <w:lvlText w:val="·"/>
      <w:lvlJc w:val="left"/>
      <w:pPr>
        <w:ind w:left="720" w:hanging="360"/>
      </w:pPr>
      <w:rPr>
        <w:rFonts w:ascii="Symbol" w:hAnsi="Symbol" w:hint="default"/>
      </w:rPr>
    </w:lvl>
    <w:lvl w:ilvl="1" w:tplc="92869534">
      <w:start w:val="1"/>
      <w:numFmt w:val="bullet"/>
      <w:lvlText w:val="o"/>
      <w:lvlJc w:val="left"/>
      <w:pPr>
        <w:ind w:left="1440" w:hanging="360"/>
      </w:pPr>
      <w:rPr>
        <w:rFonts w:ascii="Courier New" w:hAnsi="Courier New" w:hint="default"/>
      </w:rPr>
    </w:lvl>
    <w:lvl w:ilvl="2" w:tplc="6F7E8C66">
      <w:start w:val="1"/>
      <w:numFmt w:val="bullet"/>
      <w:lvlText w:val=""/>
      <w:lvlJc w:val="left"/>
      <w:pPr>
        <w:ind w:left="2160" w:hanging="360"/>
      </w:pPr>
      <w:rPr>
        <w:rFonts w:ascii="Wingdings" w:hAnsi="Wingdings" w:hint="default"/>
      </w:rPr>
    </w:lvl>
    <w:lvl w:ilvl="3" w:tplc="B9E88492">
      <w:start w:val="1"/>
      <w:numFmt w:val="bullet"/>
      <w:lvlText w:val=""/>
      <w:lvlJc w:val="left"/>
      <w:pPr>
        <w:ind w:left="2880" w:hanging="360"/>
      </w:pPr>
      <w:rPr>
        <w:rFonts w:ascii="Symbol" w:hAnsi="Symbol" w:hint="default"/>
      </w:rPr>
    </w:lvl>
    <w:lvl w:ilvl="4" w:tplc="4A74A540">
      <w:start w:val="1"/>
      <w:numFmt w:val="bullet"/>
      <w:lvlText w:val="o"/>
      <w:lvlJc w:val="left"/>
      <w:pPr>
        <w:ind w:left="3600" w:hanging="360"/>
      </w:pPr>
      <w:rPr>
        <w:rFonts w:ascii="Courier New" w:hAnsi="Courier New" w:hint="default"/>
      </w:rPr>
    </w:lvl>
    <w:lvl w:ilvl="5" w:tplc="05A4D682">
      <w:start w:val="1"/>
      <w:numFmt w:val="bullet"/>
      <w:lvlText w:val=""/>
      <w:lvlJc w:val="left"/>
      <w:pPr>
        <w:ind w:left="4320" w:hanging="360"/>
      </w:pPr>
      <w:rPr>
        <w:rFonts w:ascii="Wingdings" w:hAnsi="Wingdings" w:hint="default"/>
      </w:rPr>
    </w:lvl>
    <w:lvl w:ilvl="6" w:tplc="C09E0266">
      <w:start w:val="1"/>
      <w:numFmt w:val="bullet"/>
      <w:lvlText w:val=""/>
      <w:lvlJc w:val="left"/>
      <w:pPr>
        <w:ind w:left="5040" w:hanging="360"/>
      </w:pPr>
      <w:rPr>
        <w:rFonts w:ascii="Symbol" w:hAnsi="Symbol" w:hint="default"/>
      </w:rPr>
    </w:lvl>
    <w:lvl w:ilvl="7" w:tplc="79565B5C">
      <w:start w:val="1"/>
      <w:numFmt w:val="bullet"/>
      <w:lvlText w:val="o"/>
      <w:lvlJc w:val="left"/>
      <w:pPr>
        <w:ind w:left="5760" w:hanging="360"/>
      </w:pPr>
      <w:rPr>
        <w:rFonts w:ascii="Courier New" w:hAnsi="Courier New" w:hint="default"/>
      </w:rPr>
    </w:lvl>
    <w:lvl w:ilvl="8" w:tplc="57B29C6E">
      <w:start w:val="1"/>
      <w:numFmt w:val="bullet"/>
      <w:lvlText w:val=""/>
      <w:lvlJc w:val="left"/>
      <w:pPr>
        <w:ind w:left="6480" w:hanging="360"/>
      </w:pPr>
      <w:rPr>
        <w:rFonts w:ascii="Wingdings" w:hAnsi="Wingdings" w:hint="default"/>
      </w:rPr>
    </w:lvl>
  </w:abstractNum>
  <w:abstractNum w:abstractNumId="10" w15:restartNumberingAfterBreak="0">
    <w:nsid w:val="47467D29"/>
    <w:multiLevelType w:val="hybridMultilevel"/>
    <w:tmpl w:val="D9B82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A2502E"/>
    <w:multiLevelType w:val="hybridMultilevel"/>
    <w:tmpl w:val="83420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53109D"/>
    <w:multiLevelType w:val="hybridMultilevel"/>
    <w:tmpl w:val="28EE7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6C473F"/>
    <w:multiLevelType w:val="hybridMultilevel"/>
    <w:tmpl w:val="E9285E54"/>
    <w:lvl w:ilvl="0" w:tplc="4146854E">
      <w:start w:val="1"/>
      <w:numFmt w:val="bullet"/>
      <w:lvlText w:val="·"/>
      <w:lvlJc w:val="left"/>
      <w:pPr>
        <w:ind w:left="720" w:hanging="360"/>
      </w:pPr>
      <w:rPr>
        <w:rFonts w:ascii="Symbol" w:hAnsi="Symbol" w:hint="default"/>
      </w:rPr>
    </w:lvl>
    <w:lvl w:ilvl="1" w:tplc="8C30A220">
      <w:start w:val="1"/>
      <w:numFmt w:val="bullet"/>
      <w:lvlText w:val="o"/>
      <w:lvlJc w:val="left"/>
      <w:pPr>
        <w:ind w:left="1440" w:hanging="360"/>
      </w:pPr>
      <w:rPr>
        <w:rFonts w:ascii="Courier New" w:hAnsi="Courier New" w:hint="default"/>
      </w:rPr>
    </w:lvl>
    <w:lvl w:ilvl="2" w:tplc="0CAA1FEE">
      <w:start w:val="1"/>
      <w:numFmt w:val="bullet"/>
      <w:lvlText w:val=""/>
      <w:lvlJc w:val="left"/>
      <w:pPr>
        <w:ind w:left="2160" w:hanging="360"/>
      </w:pPr>
      <w:rPr>
        <w:rFonts w:ascii="Wingdings" w:hAnsi="Wingdings" w:hint="default"/>
      </w:rPr>
    </w:lvl>
    <w:lvl w:ilvl="3" w:tplc="72522DB8">
      <w:start w:val="1"/>
      <w:numFmt w:val="bullet"/>
      <w:lvlText w:val=""/>
      <w:lvlJc w:val="left"/>
      <w:pPr>
        <w:ind w:left="2880" w:hanging="360"/>
      </w:pPr>
      <w:rPr>
        <w:rFonts w:ascii="Symbol" w:hAnsi="Symbol" w:hint="default"/>
      </w:rPr>
    </w:lvl>
    <w:lvl w:ilvl="4" w:tplc="4E4E5B04">
      <w:start w:val="1"/>
      <w:numFmt w:val="bullet"/>
      <w:lvlText w:val="o"/>
      <w:lvlJc w:val="left"/>
      <w:pPr>
        <w:ind w:left="3600" w:hanging="360"/>
      </w:pPr>
      <w:rPr>
        <w:rFonts w:ascii="Courier New" w:hAnsi="Courier New" w:hint="default"/>
      </w:rPr>
    </w:lvl>
    <w:lvl w:ilvl="5" w:tplc="1610BBEE">
      <w:start w:val="1"/>
      <w:numFmt w:val="bullet"/>
      <w:lvlText w:val=""/>
      <w:lvlJc w:val="left"/>
      <w:pPr>
        <w:ind w:left="4320" w:hanging="360"/>
      </w:pPr>
      <w:rPr>
        <w:rFonts w:ascii="Wingdings" w:hAnsi="Wingdings" w:hint="default"/>
      </w:rPr>
    </w:lvl>
    <w:lvl w:ilvl="6" w:tplc="3B080504">
      <w:start w:val="1"/>
      <w:numFmt w:val="bullet"/>
      <w:lvlText w:val=""/>
      <w:lvlJc w:val="left"/>
      <w:pPr>
        <w:ind w:left="5040" w:hanging="360"/>
      </w:pPr>
      <w:rPr>
        <w:rFonts w:ascii="Symbol" w:hAnsi="Symbol" w:hint="default"/>
      </w:rPr>
    </w:lvl>
    <w:lvl w:ilvl="7" w:tplc="B83E91D8">
      <w:start w:val="1"/>
      <w:numFmt w:val="bullet"/>
      <w:lvlText w:val="o"/>
      <w:lvlJc w:val="left"/>
      <w:pPr>
        <w:ind w:left="5760" w:hanging="360"/>
      </w:pPr>
      <w:rPr>
        <w:rFonts w:ascii="Courier New" w:hAnsi="Courier New" w:hint="default"/>
      </w:rPr>
    </w:lvl>
    <w:lvl w:ilvl="8" w:tplc="A9BC178C">
      <w:start w:val="1"/>
      <w:numFmt w:val="bullet"/>
      <w:lvlText w:val=""/>
      <w:lvlJc w:val="left"/>
      <w:pPr>
        <w:ind w:left="6480" w:hanging="360"/>
      </w:pPr>
      <w:rPr>
        <w:rFonts w:ascii="Wingdings" w:hAnsi="Wingdings" w:hint="default"/>
      </w:rPr>
    </w:lvl>
  </w:abstractNum>
  <w:abstractNum w:abstractNumId="14" w15:restartNumberingAfterBreak="0">
    <w:nsid w:val="5D792974"/>
    <w:multiLevelType w:val="hybridMultilevel"/>
    <w:tmpl w:val="E968D852"/>
    <w:lvl w:ilvl="0" w:tplc="77F092D6">
      <w:start w:val="1"/>
      <w:numFmt w:val="bullet"/>
      <w:lvlText w:val="§"/>
      <w:lvlJc w:val="left"/>
      <w:pPr>
        <w:ind w:left="720" w:hanging="360"/>
      </w:pPr>
      <w:rPr>
        <w:rFonts w:ascii="Wingdings" w:hAnsi="Wingdings" w:hint="default"/>
      </w:rPr>
    </w:lvl>
    <w:lvl w:ilvl="1" w:tplc="A5AC36F8">
      <w:start w:val="1"/>
      <w:numFmt w:val="bullet"/>
      <w:lvlText w:val="o"/>
      <w:lvlJc w:val="left"/>
      <w:pPr>
        <w:ind w:left="1440" w:hanging="360"/>
      </w:pPr>
      <w:rPr>
        <w:rFonts w:ascii="Courier New" w:hAnsi="Courier New" w:hint="default"/>
      </w:rPr>
    </w:lvl>
    <w:lvl w:ilvl="2" w:tplc="309E9CBA">
      <w:start w:val="1"/>
      <w:numFmt w:val="bullet"/>
      <w:lvlText w:val=""/>
      <w:lvlJc w:val="left"/>
      <w:pPr>
        <w:ind w:left="2160" w:hanging="360"/>
      </w:pPr>
      <w:rPr>
        <w:rFonts w:ascii="Wingdings" w:hAnsi="Wingdings" w:hint="default"/>
      </w:rPr>
    </w:lvl>
    <w:lvl w:ilvl="3" w:tplc="FC7EF34E">
      <w:start w:val="1"/>
      <w:numFmt w:val="bullet"/>
      <w:lvlText w:val=""/>
      <w:lvlJc w:val="left"/>
      <w:pPr>
        <w:ind w:left="2880" w:hanging="360"/>
      </w:pPr>
      <w:rPr>
        <w:rFonts w:ascii="Symbol" w:hAnsi="Symbol" w:hint="default"/>
      </w:rPr>
    </w:lvl>
    <w:lvl w:ilvl="4" w:tplc="C1AA3338">
      <w:start w:val="1"/>
      <w:numFmt w:val="bullet"/>
      <w:lvlText w:val="o"/>
      <w:lvlJc w:val="left"/>
      <w:pPr>
        <w:ind w:left="3600" w:hanging="360"/>
      </w:pPr>
      <w:rPr>
        <w:rFonts w:ascii="Courier New" w:hAnsi="Courier New" w:hint="default"/>
      </w:rPr>
    </w:lvl>
    <w:lvl w:ilvl="5" w:tplc="5B16BD3E">
      <w:start w:val="1"/>
      <w:numFmt w:val="bullet"/>
      <w:lvlText w:val=""/>
      <w:lvlJc w:val="left"/>
      <w:pPr>
        <w:ind w:left="4320" w:hanging="360"/>
      </w:pPr>
      <w:rPr>
        <w:rFonts w:ascii="Wingdings" w:hAnsi="Wingdings" w:hint="default"/>
      </w:rPr>
    </w:lvl>
    <w:lvl w:ilvl="6" w:tplc="7E1A36EC">
      <w:start w:val="1"/>
      <w:numFmt w:val="bullet"/>
      <w:lvlText w:val=""/>
      <w:lvlJc w:val="left"/>
      <w:pPr>
        <w:ind w:left="5040" w:hanging="360"/>
      </w:pPr>
      <w:rPr>
        <w:rFonts w:ascii="Symbol" w:hAnsi="Symbol" w:hint="default"/>
      </w:rPr>
    </w:lvl>
    <w:lvl w:ilvl="7" w:tplc="88849E86">
      <w:start w:val="1"/>
      <w:numFmt w:val="bullet"/>
      <w:lvlText w:val="o"/>
      <w:lvlJc w:val="left"/>
      <w:pPr>
        <w:ind w:left="5760" w:hanging="360"/>
      </w:pPr>
      <w:rPr>
        <w:rFonts w:ascii="Courier New" w:hAnsi="Courier New" w:hint="default"/>
      </w:rPr>
    </w:lvl>
    <w:lvl w:ilvl="8" w:tplc="EE1C3D54">
      <w:start w:val="1"/>
      <w:numFmt w:val="bullet"/>
      <w:lvlText w:val=""/>
      <w:lvlJc w:val="left"/>
      <w:pPr>
        <w:ind w:left="6480" w:hanging="360"/>
      </w:pPr>
      <w:rPr>
        <w:rFonts w:ascii="Wingdings" w:hAnsi="Wingdings" w:hint="default"/>
      </w:rPr>
    </w:lvl>
  </w:abstractNum>
  <w:abstractNum w:abstractNumId="15" w15:restartNumberingAfterBreak="0">
    <w:nsid w:val="62564287"/>
    <w:multiLevelType w:val="hybridMultilevel"/>
    <w:tmpl w:val="F39EB2A4"/>
    <w:lvl w:ilvl="0" w:tplc="AED83132">
      <w:start w:val="1"/>
      <w:numFmt w:val="bullet"/>
      <w:lvlText w:val="§"/>
      <w:lvlJc w:val="left"/>
      <w:pPr>
        <w:ind w:left="720" w:hanging="360"/>
      </w:pPr>
      <w:rPr>
        <w:rFonts w:ascii="Wingdings" w:hAnsi="Wingdings" w:hint="default"/>
      </w:rPr>
    </w:lvl>
    <w:lvl w:ilvl="1" w:tplc="D502517E">
      <w:start w:val="1"/>
      <w:numFmt w:val="bullet"/>
      <w:lvlText w:val="o"/>
      <w:lvlJc w:val="left"/>
      <w:pPr>
        <w:ind w:left="1440" w:hanging="360"/>
      </w:pPr>
      <w:rPr>
        <w:rFonts w:ascii="Courier New" w:hAnsi="Courier New" w:hint="default"/>
      </w:rPr>
    </w:lvl>
    <w:lvl w:ilvl="2" w:tplc="BABC2C66">
      <w:start w:val="1"/>
      <w:numFmt w:val="bullet"/>
      <w:lvlText w:val=""/>
      <w:lvlJc w:val="left"/>
      <w:pPr>
        <w:ind w:left="2160" w:hanging="360"/>
      </w:pPr>
      <w:rPr>
        <w:rFonts w:ascii="Wingdings" w:hAnsi="Wingdings" w:hint="default"/>
      </w:rPr>
    </w:lvl>
    <w:lvl w:ilvl="3" w:tplc="A8847BA8">
      <w:start w:val="1"/>
      <w:numFmt w:val="bullet"/>
      <w:lvlText w:val=""/>
      <w:lvlJc w:val="left"/>
      <w:pPr>
        <w:ind w:left="2880" w:hanging="360"/>
      </w:pPr>
      <w:rPr>
        <w:rFonts w:ascii="Symbol" w:hAnsi="Symbol" w:hint="default"/>
      </w:rPr>
    </w:lvl>
    <w:lvl w:ilvl="4" w:tplc="5276CC5E">
      <w:start w:val="1"/>
      <w:numFmt w:val="bullet"/>
      <w:lvlText w:val="o"/>
      <w:lvlJc w:val="left"/>
      <w:pPr>
        <w:ind w:left="3600" w:hanging="360"/>
      </w:pPr>
      <w:rPr>
        <w:rFonts w:ascii="Courier New" w:hAnsi="Courier New" w:hint="default"/>
      </w:rPr>
    </w:lvl>
    <w:lvl w:ilvl="5" w:tplc="A9EA261C">
      <w:start w:val="1"/>
      <w:numFmt w:val="bullet"/>
      <w:lvlText w:val=""/>
      <w:lvlJc w:val="left"/>
      <w:pPr>
        <w:ind w:left="4320" w:hanging="360"/>
      </w:pPr>
      <w:rPr>
        <w:rFonts w:ascii="Wingdings" w:hAnsi="Wingdings" w:hint="default"/>
      </w:rPr>
    </w:lvl>
    <w:lvl w:ilvl="6" w:tplc="53403CB4">
      <w:start w:val="1"/>
      <w:numFmt w:val="bullet"/>
      <w:lvlText w:val=""/>
      <w:lvlJc w:val="left"/>
      <w:pPr>
        <w:ind w:left="5040" w:hanging="360"/>
      </w:pPr>
      <w:rPr>
        <w:rFonts w:ascii="Symbol" w:hAnsi="Symbol" w:hint="default"/>
      </w:rPr>
    </w:lvl>
    <w:lvl w:ilvl="7" w:tplc="2348C2C6">
      <w:start w:val="1"/>
      <w:numFmt w:val="bullet"/>
      <w:lvlText w:val="o"/>
      <w:lvlJc w:val="left"/>
      <w:pPr>
        <w:ind w:left="5760" w:hanging="360"/>
      </w:pPr>
      <w:rPr>
        <w:rFonts w:ascii="Courier New" w:hAnsi="Courier New" w:hint="default"/>
      </w:rPr>
    </w:lvl>
    <w:lvl w:ilvl="8" w:tplc="9DFAE6CE">
      <w:start w:val="1"/>
      <w:numFmt w:val="bullet"/>
      <w:lvlText w:val=""/>
      <w:lvlJc w:val="left"/>
      <w:pPr>
        <w:ind w:left="6480" w:hanging="360"/>
      </w:pPr>
      <w:rPr>
        <w:rFonts w:ascii="Wingdings" w:hAnsi="Wingdings" w:hint="default"/>
      </w:rPr>
    </w:lvl>
  </w:abstractNum>
  <w:abstractNum w:abstractNumId="16" w15:restartNumberingAfterBreak="0">
    <w:nsid w:val="64CB120F"/>
    <w:multiLevelType w:val="hybridMultilevel"/>
    <w:tmpl w:val="E00AA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DF3425"/>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86C522A"/>
    <w:multiLevelType w:val="hybridMultilevel"/>
    <w:tmpl w:val="B5E8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1148C0"/>
    <w:multiLevelType w:val="hybridMultilevel"/>
    <w:tmpl w:val="4A16BF66"/>
    <w:lvl w:ilvl="0" w:tplc="37844E3C">
      <w:start w:val="1"/>
      <w:numFmt w:val="bullet"/>
      <w:lvlText w:val="§"/>
      <w:lvlJc w:val="left"/>
      <w:pPr>
        <w:ind w:left="720" w:hanging="360"/>
      </w:pPr>
      <w:rPr>
        <w:rFonts w:ascii="Wingdings" w:hAnsi="Wingdings" w:hint="default"/>
      </w:rPr>
    </w:lvl>
    <w:lvl w:ilvl="1" w:tplc="C1440766">
      <w:start w:val="1"/>
      <w:numFmt w:val="bullet"/>
      <w:lvlText w:val="o"/>
      <w:lvlJc w:val="left"/>
      <w:pPr>
        <w:ind w:left="1440" w:hanging="360"/>
      </w:pPr>
      <w:rPr>
        <w:rFonts w:ascii="Courier New" w:hAnsi="Courier New" w:hint="default"/>
      </w:rPr>
    </w:lvl>
    <w:lvl w:ilvl="2" w:tplc="325676A6">
      <w:start w:val="1"/>
      <w:numFmt w:val="bullet"/>
      <w:lvlText w:val=""/>
      <w:lvlJc w:val="left"/>
      <w:pPr>
        <w:ind w:left="2160" w:hanging="360"/>
      </w:pPr>
      <w:rPr>
        <w:rFonts w:ascii="Wingdings" w:hAnsi="Wingdings" w:hint="default"/>
      </w:rPr>
    </w:lvl>
    <w:lvl w:ilvl="3" w:tplc="60F05506">
      <w:start w:val="1"/>
      <w:numFmt w:val="bullet"/>
      <w:lvlText w:val=""/>
      <w:lvlJc w:val="left"/>
      <w:pPr>
        <w:ind w:left="2880" w:hanging="360"/>
      </w:pPr>
      <w:rPr>
        <w:rFonts w:ascii="Symbol" w:hAnsi="Symbol" w:hint="default"/>
      </w:rPr>
    </w:lvl>
    <w:lvl w:ilvl="4" w:tplc="47DC4386">
      <w:start w:val="1"/>
      <w:numFmt w:val="bullet"/>
      <w:lvlText w:val="o"/>
      <w:lvlJc w:val="left"/>
      <w:pPr>
        <w:ind w:left="3600" w:hanging="360"/>
      </w:pPr>
      <w:rPr>
        <w:rFonts w:ascii="Courier New" w:hAnsi="Courier New" w:hint="default"/>
      </w:rPr>
    </w:lvl>
    <w:lvl w:ilvl="5" w:tplc="E1E21A6E">
      <w:start w:val="1"/>
      <w:numFmt w:val="bullet"/>
      <w:lvlText w:val=""/>
      <w:lvlJc w:val="left"/>
      <w:pPr>
        <w:ind w:left="4320" w:hanging="360"/>
      </w:pPr>
      <w:rPr>
        <w:rFonts w:ascii="Wingdings" w:hAnsi="Wingdings" w:hint="default"/>
      </w:rPr>
    </w:lvl>
    <w:lvl w:ilvl="6" w:tplc="3168F3B8">
      <w:start w:val="1"/>
      <w:numFmt w:val="bullet"/>
      <w:lvlText w:val=""/>
      <w:lvlJc w:val="left"/>
      <w:pPr>
        <w:ind w:left="5040" w:hanging="360"/>
      </w:pPr>
      <w:rPr>
        <w:rFonts w:ascii="Symbol" w:hAnsi="Symbol" w:hint="default"/>
      </w:rPr>
    </w:lvl>
    <w:lvl w:ilvl="7" w:tplc="61FC6FC8">
      <w:start w:val="1"/>
      <w:numFmt w:val="bullet"/>
      <w:lvlText w:val="o"/>
      <w:lvlJc w:val="left"/>
      <w:pPr>
        <w:ind w:left="5760" w:hanging="360"/>
      </w:pPr>
      <w:rPr>
        <w:rFonts w:ascii="Courier New" w:hAnsi="Courier New" w:hint="default"/>
      </w:rPr>
    </w:lvl>
    <w:lvl w:ilvl="8" w:tplc="C6E0308C">
      <w:start w:val="1"/>
      <w:numFmt w:val="bullet"/>
      <w:lvlText w:val=""/>
      <w:lvlJc w:val="left"/>
      <w:pPr>
        <w:ind w:left="6480" w:hanging="360"/>
      </w:pPr>
      <w:rPr>
        <w:rFonts w:ascii="Wingdings" w:hAnsi="Wingdings" w:hint="default"/>
      </w:rPr>
    </w:lvl>
  </w:abstractNum>
  <w:abstractNum w:abstractNumId="20" w15:restartNumberingAfterBreak="0">
    <w:nsid w:val="7FF70552"/>
    <w:multiLevelType w:val="hybridMultilevel"/>
    <w:tmpl w:val="805E3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4433260">
    <w:abstractNumId w:val="9"/>
  </w:num>
  <w:num w:numId="2" w16cid:durableId="1769420800">
    <w:abstractNumId w:val="13"/>
  </w:num>
  <w:num w:numId="3" w16cid:durableId="113181145">
    <w:abstractNumId w:val="15"/>
  </w:num>
  <w:num w:numId="4" w16cid:durableId="1317144865">
    <w:abstractNumId w:val="19"/>
  </w:num>
  <w:num w:numId="5" w16cid:durableId="503253265">
    <w:abstractNumId w:val="14"/>
  </w:num>
  <w:num w:numId="6" w16cid:durableId="784885390">
    <w:abstractNumId w:val="4"/>
  </w:num>
  <w:num w:numId="7" w16cid:durableId="225383020">
    <w:abstractNumId w:val="7"/>
  </w:num>
  <w:num w:numId="8" w16cid:durableId="1804931331">
    <w:abstractNumId w:val="1"/>
  </w:num>
  <w:num w:numId="9" w16cid:durableId="1392386433">
    <w:abstractNumId w:val="10"/>
  </w:num>
  <w:num w:numId="10" w16cid:durableId="22941523">
    <w:abstractNumId w:val="20"/>
  </w:num>
  <w:num w:numId="11" w16cid:durableId="1419641383">
    <w:abstractNumId w:val="11"/>
  </w:num>
  <w:num w:numId="12" w16cid:durableId="1426345478">
    <w:abstractNumId w:val="6"/>
  </w:num>
  <w:num w:numId="13" w16cid:durableId="915745313">
    <w:abstractNumId w:val="2"/>
  </w:num>
  <w:num w:numId="14" w16cid:durableId="2044941382">
    <w:abstractNumId w:val="16"/>
  </w:num>
  <w:num w:numId="15" w16cid:durableId="1400208546">
    <w:abstractNumId w:val="12"/>
  </w:num>
  <w:num w:numId="16" w16cid:durableId="245114073">
    <w:abstractNumId w:val="18"/>
  </w:num>
  <w:num w:numId="17" w16cid:durableId="558828772">
    <w:abstractNumId w:val="5"/>
  </w:num>
  <w:num w:numId="18" w16cid:durableId="9723590">
    <w:abstractNumId w:val="3"/>
  </w:num>
  <w:num w:numId="19" w16cid:durableId="1636837112">
    <w:abstractNumId w:val="0"/>
  </w:num>
  <w:num w:numId="20" w16cid:durableId="952202833">
    <w:abstractNumId w:val="17"/>
  </w:num>
  <w:num w:numId="21" w16cid:durableId="84876186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51BA8"/>
    <w:rsid w:val="000707A8"/>
    <w:rsid w:val="00087432"/>
    <w:rsid w:val="000A245C"/>
    <w:rsid w:val="000A3A0B"/>
    <w:rsid w:val="000B05CE"/>
    <w:rsid w:val="000B0660"/>
    <w:rsid w:val="000B0F90"/>
    <w:rsid w:val="000C7EDF"/>
    <w:rsid w:val="000E039C"/>
    <w:rsid w:val="000E0C47"/>
    <w:rsid w:val="000F30D2"/>
    <w:rsid w:val="00106A9E"/>
    <w:rsid w:val="001561EC"/>
    <w:rsid w:val="00156212"/>
    <w:rsid w:val="00192787"/>
    <w:rsid w:val="001D16D7"/>
    <w:rsid w:val="001F0BB2"/>
    <w:rsid w:val="00205FC1"/>
    <w:rsid w:val="0024281D"/>
    <w:rsid w:val="00256569"/>
    <w:rsid w:val="002C5EE6"/>
    <w:rsid w:val="002E29B7"/>
    <w:rsid w:val="002F2E06"/>
    <w:rsid w:val="00343719"/>
    <w:rsid w:val="003873DC"/>
    <w:rsid w:val="003A44C3"/>
    <w:rsid w:val="003C3A42"/>
    <w:rsid w:val="003F03AD"/>
    <w:rsid w:val="00407F1D"/>
    <w:rsid w:val="00440010"/>
    <w:rsid w:val="00493FE5"/>
    <w:rsid w:val="004E4617"/>
    <w:rsid w:val="004F0752"/>
    <w:rsid w:val="004F26C2"/>
    <w:rsid w:val="00535E87"/>
    <w:rsid w:val="00545835"/>
    <w:rsid w:val="005744CC"/>
    <w:rsid w:val="005A0847"/>
    <w:rsid w:val="005E7330"/>
    <w:rsid w:val="005F54D4"/>
    <w:rsid w:val="0062446D"/>
    <w:rsid w:val="00654C9F"/>
    <w:rsid w:val="006567B8"/>
    <w:rsid w:val="006628EF"/>
    <w:rsid w:val="00674630"/>
    <w:rsid w:val="00692D31"/>
    <w:rsid w:val="006A6119"/>
    <w:rsid w:val="00713940"/>
    <w:rsid w:val="00737EAD"/>
    <w:rsid w:val="007D1D01"/>
    <w:rsid w:val="007D584C"/>
    <w:rsid w:val="007E78B3"/>
    <w:rsid w:val="00810316"/>
    <w:rsid w:val="00811E29"/>
    <w:rsid w:val="0081210D"/>
    <w:rsid w:val="00841718"/>
    <w:rsid w:val="008725A3"/>
    <w:rsid w:val="00874C97"/>
    <w:rsid w:val="008753F2"/>
    <w:rsid w:val="0089331B"/>
    <w:rsid w:val="009020A4"/>
    <w:rsid w:val="0091224E"/>
    <w:rsid w:val="00915D54"/>
    <w:rsid w:val="00954BAB"/>
    <w:rsid w:val="00962792"/>
    <w:rsid w:val="009778E0"/>
    <w:rsid w:val="00992E9C"/>
    <w:rsid w:val="009B1DC4"/>
    <w:rsid w:val="009B7E39"/>
    <w:rsid w:val="009E5860"/>
    <w:rsid w:val="00A30817"/>
    <w:rsid w:val="00A33CC9"/>
    <w:rsid w:val="00A35D6D"/>
    <w:rsid w:val="00A8355D"/>
    <w:rsid w:val="00AA747A"/>
    <w:rsid w:val="00AB59C9"/>
    <w:rsid w:val="00AB7E86"/>
    <w:rsid w:val="00AD5FB0"/>
    <w:rsid w:val="00AF54AA"/>
    <w:rsid w:val="00B06DED"/>
    <w:rsid w:val="00B104E8"/>
    <w:rsid w:val="00B2185E"/>
    <w:rsid w:val="00B24624"/>
    <w:rsid w:val="00B26894"/>
    <w:rsid w:val="00B37A1E"/>
    <w:rsid w:val="00B41391"/>
    <w:rsid w:val="00B44CDE"/>
    <w:rsid w:val="00B55829"/>
    <w:rsid w:val="00BA608A"/>
    <w:rsid w:val="00BA79B9"/>
    <w:rsid w:val="00BC5A00"/>
    <w:rsid w:val="00BD017D"/>
    <w:rsid w:val="00BF0FBF"/>
    <w:rsid w:val="00C7286B"/>
    <w:rsid w:val="00C9104D"/>
    <w:rsid w:val="00C92277"/>
    <w:rsid w:val="00CA50B4"/>
    <w:rsid w:val="00CA5C6B"/>
    <w:rsid w:val="00CB13A3"/>
    <w:rsid w:val="00CD4F1B"/>
    <w:rsid w:val="00CD780C"/>
    <w:rsid w:val="00CE7183"/>
    <w:rsid w:val="00D0333E"/>
    <w:rsid w:val="00D04B6F"/>
    <w:rsid w:val="00D06377"/>
    <w:rsid w:val="00D212C1"/>
    <w:rsid w:val="00D257E8"/>
    <w:rsid w:val="00D31A07"/>
    <w:rsid w:val="00D57641"/>
    <w:rsid w:val="00D62F5D"/>
    <w:rsid w:val="00D63863"/>
    <w:rsid w:val="00D85B45"/>
    <w:rsid w:val="00D959F3"/>
    <w:rsid w:val="00DA2948"/>
    <w:rsid w:val="00DB724A"/>
    <w:rsid w:val="00E05328"/>
    <w:rsid w:val="00E2269C"/>
    <w:rsid w:val="00E83549"/>
    <w:rsid w:val="00E9336E"/>
    <w:rsid w:val="00EA3138"/>
    <w:rsid w:val="00EB3711"/>
    <w:rsid w:val="00EE1838"/>
    <w:rsid w:val="00F059CD"/>
    <w:rsid w:val="00F1266D"/>
    <w:rsid w:val="00F16516"/>
    <w:rsid w:val="00F27BBA"/>
    <w:rsid w:val="00F37065"/>
    <w:rsid w:val="00F64A61"/>
    <w:rsid w:val="00F77834"/>
    <w:rsid w:val="00F77BD8"/>
    <w:rsid w:val="00F865AC"/>
    <w:rsid w:val="00F96A64"/>
    <w:rsid w:val="00FA1930"/>
    <w:rsid w:val="00FA4CD8"/>
    <w:rsid w:val="00FE10D0"/>
    <w:rsid w:val="00FE2572"/>
    <w:rsid w:val="032675C6"/>
    <w:rsid w:val="0695AEDC"/>
    <w:rsid w:val="0722E470"/>
    <w:rsid w:val="07D48EE1"/>
    <w:rsid w:val="1057F717"/>
    <w:rsid w:val="158DAC7F"/>
    <w:rsid w:val="1B25FFD6"/>
    <w:rsid w:val="1B3B694E"/>
    <w:rsid w:val="1BFCEE03"/>
    <w:rsid w:val="1C8737FE"/>
    <w:rsid w:val="1F348EC5"/>
    <w:rsid w:val="37D36E17"/>
    <w:rsid w:val="3B67FFCC"/>
    <w:rsid w:val="3FF47972"/>
    <w:rsid w:val="44553394"/>
    <w:rsid w:val="44819094"/>
    <w:rsid w:val="4516CF98"/>
    <w:rsid w:val="46B29FF9"/>
    <w:rsid w:val="4737C631"/>
    <w:rsid w:val="484E705A"/>
    <w:rsid w:val="4AC5F611"/>
    <w:rsid w:val="4E14559D"/>
    <w:rsid w:val="51EDA3EC"/>
    <w:rsid w:val="56AF9B66"/>
    <w:rsid w:val="5A33A977"/>
    <w:rsid w:val="5B473210"/>
    <w:rsid w:val="5EBAAD4B"/>
    <w:rsid w:val="5EC88797"/>
    <w:rsid w:val="5EFBF758"/>
    <w:rsid w:val="68AFFD31"/>
    <w:rsid w:val="708709FE"/>
    <w:rsid w:val="7F761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6826"/>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20"/>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20"/>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20"/>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9020A4"/>
    <w:pPr>
      <w:keepNext/>
      <w:keepLines/>
      <w:numPr>
        <w:ilvl w:val="3"/>
        <w:numId w:val="2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20A4"/>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020A4"/>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020A4"/>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020A4"/>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20A4"/>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FE10D0"/>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FE10D0"/>
    <w:rPr>
      <w:rFonts w:ascii="Arial" w:eastAsia="Arial" w:hAnsi="Arial" w:cs="Arial"/>
      <w:lang w:val="en-US"/>
    </w:rPr>
  </w:style>
  <w:style w:type="paragraph" w:styleId="NormalWeb">
    <w:name w:val="Normal (Web)"/>
    <w:basedOn w:val="Normal"/>
    <w:uiPriority w:val="99"/>
    <w:unhideWhenUsed/>
    <w:rsid w:val="006A6119"/>
    <w:pPr>
      <w:spacing w:before="100" w:beforeAutospacing="1" w:after="100" w:afterAutospacing="1"/>
    </w:pPr>
    <w:rPr>
      <w:rFonts w:ascii="Times New Roman" w:eastAsia="Times New Roman" w:hAnsi="Times New Roman" w:cs="Times New Roman"/>
      <w:sz w:val="24"/>
      <w:lang w:val="en-AU" w:eastAsia="en-AU"/>
    </w:rPr>
  </w:style>
  <w:style w:type="character" w:styleId="PlaceholderText">
    <w:name w:val="Placeholder Text"/>
    <w:basedOn w:val="DefaultParagraphFont"/>
    <w:uiPriority w:val="99"/>
    <w:semiHidden/>
    <w:rsid w:val="00AF54AA"/>
    <w:rPr>
      <w:color w:val="808080"/>
    </w:rPr>
  </w:style>
  <w:style w:type="paragraph" w:styleId="Revision">
    <w:name w:val="Revision"/>
    <w:hidden/>
    <w:uiPriority w:val="99"/>
    <w:semiHidden/>
    <w:rsid w:val="00F77834"/>
    <w:rPr>
      <w:rFonts w:ascii="Arial" w:hAnsi="Arial"/>
      <w:sz w:val="22"/>
    </w:rPr>
  </w:style>
  <w:style w:type="table" w:customStyle="1" w:styleId="Tablestyle1">
    <w:name w:val="Table style 1"/>
    <w:basedOn w:val="TableNormal"/>
    <w:uiPriority w:val="99"/>
    <w:rsid w:val="009020A4"/>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character" w:customStyle="1" w:styleId="Heading4Char">
    <w:name w:val="Heading 4 Char"/>
    <w:basedOn w:val="DefaultParagraphFont"/>
    <w:link w:val="Heading4"/>
    <w:uiPriority w:val="9"/>
    <w:semiHidden/>
    <w:rsid w:val="009020A4"/>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9020A4"/>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9020A4"/>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9020A4"/>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9020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20A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1771508637">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D0C4791F646FC8F6D4CFA1D4A9EC2"/>
        <w:category>
          <w:name w:val="General"/>
          <w:gallery w:val="placeholder"/>
        </w:category>
        <w:types>
          <w:type w:val="bbPlcHdr"/>
        </w:types>
        <w:behaviors>
          <w:behavior w:val="content"/>
        </w:behaviors>
        <w:guid w:val="{DB2D7714-F7EF-4E21-AFFE-DC40B596584D}"/>
      </w:docPartPr>
      <w:docPartBody>
        <w:p w:rsidR="001A0EF7" w:rsidRDefault="009B1DC4" w:rsidP="009B1DC4">
          <w:pPr>
            <w:pStyle w:val="1CED0C4791F646FC8F6D4CFA1D4A9EC2"/>
          </w:pPr>
          <w:r w:rsidRPr="00EE75DA">
            <w:rPr>
              <w:rStyle w:val="PlaceholderText"/>
            </w:rPr>
            <w:t>[HCA Department]</w:t>
          </w:r>
        </w:p>
      </w:docPartBody>
    </w:docPart>
    <w:docPart>
      <w:docPartPr>
        <w:name w:val="21997555A97844C8A79F88E8A0A37D58"/>
        <w:category>
          <w:name w:val="General"/>
          <w:gallery w:val="placeholder"/>
        </w:category>
        <w:types>
          <w:type w:val="bbPlcHdr"/>
        </w:types>
        <w:behaviors>
          <w:behavior w:val="content"/>
        </w:behaviors>
        <w:guid w:val="{5DE6776D-B3DA-4E5A-BEC0-528890329920}"/>
      </w:docPartPr>
      <w:docPartBody>
        <w:p w:rsidR="001A0EF7" w:rsidRDefault="009B1DC4" w:rsidP="009B1DC4">
          <w:pPr>
            <w:pStyle w:val="21997555A97844C8A79F88E8A0A37D58"/>
          </w:pPr>
          <w:r w:rsidRPr="005E218A">
            <w:rPr>
              <w:rStyle w:val="PlaceholderText"/>
            </w:rPr>
            <w:t>[Document Version]</w:t>
          </w:r>
        </w:p>
      </w:docPartBody>
    </w:docPart>
    <w:docPart>
      <w:docPartPr>
        <w:name w:val="7257385EAB9849DA9C0E8B45DE071D82"/>
        <w:category>
          <w:name w:val="General"/>
          <w:gallery w:val="placeholder"/>
        </w:category>
        <w:types>
          <w:type w:val="bbPlcHdr"/>
        </w:types>
        <w:behaviors>
          <w:behavior w:val="content"/>
        </w:behaviors>
        <w:guid w:val="{A15B58CD-DDBF-4DC6-B0CE-96A4E9AA6297}"/>
      </w:docPartPr>
      <w:docPartBody>
        <w:p w:rsidR="001A0EF7" w:rsidRDefault="009B1DC4" w:rsidP="009B1DC4">
          <w:pPr>
            <w:pStyle w:val="7257385EAB9849DA9C0E8B45DE071D82"/>
          </w:pPr>
          <w:r w:rsidRPr="005E218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C4"/>
    <w:rsid w:val="001A0EF7"/>
    <w:rsid w:val="009B1DC4"/>
    <w:rsid w:val="00F77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DC4"/>
    <w:rPr>
      <w:color w:val="808080"/>
    </w:rPr>
  </w:style>
  <w:style w:type="paragraph" w:customStyle="1" w:styleId="1CED0C4791F646FC8F6D4CFA1D4A9EC2">
    <w:name w:val="1CED0C4791F646FC8F6D4CFA1D4A9EC2"/>
    <w:rsid w:val="009B1DC4"/>
  </w:style>
  <w:style w:type="paragraph" w:customStyle="1" w:styleId="21997555A97844C8A79F88E8A0A37D58">
    <w:name w:val="21997555A97844C8A79F88E8A0A37D58"/>
    <w:rsid w:val="009B1DC4"/>
  </w:style>
  <w:style w:type="paragraph" w:customStyle="1" w:styleId="7257385EAB9849DA9C0E8B45DE071D82">
    <w:name w:val="7257385EAB9849DA9C0E8B45DE071D82"/>
    <w:rsid w:val="009B1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1a9bff3f92fe88b00b4b8661b1cdb656">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cae0a5b4ab11a2c74caff49fe419296"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N/A</Value>
    </DocumentInfluence>
    <MonthlyShowcase xmlns="e6a1ff41-1602-428f-9ee7-425182238c6e">No</MonthlyShowcase>
    <ReviewDate xmlns="e6a1ff41-1602-428f-9ee7-425182238c6e">2020-09-17T16:00:00+00:00</ReviewDate>
    <DocStatus xmlns="e6a1ff41-1602-428f-9ee7-425182238c6e">Published</DocStatus>
    <HCADepartment xmlns="e6a1ff41-1602-428f-9ee7-425182238c6e">Operations Tasmania</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update to dates and metadata</DocComments>
    <PublishDate xmlns="e6a1ff41-1602-428f-9ee7-425182238c6e">2020-09-07T16:00:00+00:00</PublishDate>
    <Ratings xmlns="http://schemas.microsoft.com/sharepoint/v3" xsi:nil="true"/>
    <LinkedRepository xmlns="e6a1ff41-1602-428f-9ee7-425182238c6e">
      <Value>BIERP</Value>
    </LinkedRepository>
    <AccessibilityRormattingRequired xmlns="e6a1ff41-1602-428f-9ee7-425182238c6e">Yes</AccessibilityRormattingRequired>
    <ApprovedForArchive xmlns="e6a1ff41-1602-428f-9ee7-425182238c6e" xsi:nil="true"/>
    <DocumentVersion xmlns="e6a1ff41-1602-428f-9ee7-425182238c6e">1</DocumentVersion>
    <LikedBy xmlns="http://schemas.microsoft.com/sharepoint/v3">
      <UserInfo>
        <DisplayName/>
        <AccountId xsi:nil="true"/>
        <AccountType/>
      </UserInfo>
    </LikedBy>
    <DocumentNumber xmlns="e6a1ff41-1602-428f-9ee7-425182238c6e" xsi:nil="true"/>
    <InformationRelevance xmlns="e6a1ff41-1602-428f-9ee7-425182238c6e">National</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NRSCH</Value>
    </ApplicableCompliance>
    <LastUpdated xmlns="e6a1ff41-1602-428f-9ee7-425182238c6e">2020-09-19T05:56:44+00:00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National Operations</Value>
    </ExecutiveDepartment>
    <_dlc_DocId xmlns="e6a1ff41-1602-428f-9ee7-425182238c6e">KCENTRE-192251812-768</_dlc_DocId>
    <_dlc_DocIdUrl xmlns="e6a1ff41-1602-428f-9ee7-425182238c6e">
      <Url>https://housingchoicesaustralia.sharepoint.com/sites/knowledge/_layouts/15/DocIdRedir.aspx?ID=KCENTRE-192251812-768</Url>
      <Description>KCENTRE-192251812-768</Description>
    </_dlc_DocIdUrl>
    <IntegrationApplied xmlns="e6a1ff41-1602-428f-9ee7-425182238c6e" xsi:nil="true"/>
    <AcknowledgementRequired xmlns="f3b525b9-d1ae-4d06-a8a3-f4f1f8c9f6b0">false</AcknowledgementRequired>
    <ApplicableEntities xmlns="e6a1ff41-1602-428f-9ee7-425182238c6e" xsi:nil="true"/>
    <TaxCatchAll xmlns="e6a1ff41-1602-428f-9ee7-425182238c6e" xsi:nil="true"/>
    <TaxKeywordTaxHTField xmlns="e6a1ff41-1602-428f-9ee7-425182238c6e" xsi:nil="true"/>
    <Handbook_x002f_Package xmlns="e6a1ff41-1602-428f-9ee7-425182238c6e">
      <Value>N/A</Value>
    </Handbook_x002f_Package>
    <Approval_x0020_Level0 xmlns="f3b525b9-d1ae-4d06-a8a3-f4f1f8c9f6b0">Management</Approval_x0020_Level0>
  </documentManagement>
</p:properties>
</file>

<file path=customXml/itemProps1.xml><?xml version="1.0" encoding="utf-8"?>
<ds:datastoreItem xmlns:ds="http://schemas.openxmlformats.org/officeDocument/2006/customXml" ds:itemID="{59A73343-B078-4E57-810B-106E293307E7}">
  <ds:schemaRefs>
    <ds:schemaRef ds:uri="http://schemas.openxmlformats.org/officeDocument/2006/bibliography"/>
  </ds:schemaRefs>
</ds:datastoreItem>
</file>

<file path=customXml/itemProps2.xml><?xml version="1.0" encoding="utf-8"?>
<ds:datastoreItem xmlns:ds="http://schemas.openxmlformats.org/officeDocument/2006/customXml" ds:itemID="{F0350895-FF11-4125-BD58-A3184BD315F7}">
  <ds:schemaRefs>
    <ds:schemaRef ds:uri="http://schemas.microsoft.com/sharepoint/events"/>
  </ds:schemaRefs>
</ds:datastoreItem>
</file>

<file path=customXml/itemProps3.xml><?xml version="1.0" encoding="utf-8"?>
<ds:datastoreItem xmlns:ds="http://schemas.openxmlformats.org/officeDocument/2006/customXml" ds:itemID="{5F1A9561-0E64-4839-B5A8-A7C5A077E250}"/>
</file>

<file path=customXml/itemProps4.xml><?xml version="1.0" encoding="utf-8"?>
<ds:datastoreItem xmlns:ds="http://schemas.openxmlformats.org/officeDocument/2006/customXml" ds:itemID="{4248A325-71D7-4E37-972B-8C0B854BA716}">
  <ds:schemaRefs>
    <ds:schemaRef ds:uri="http://schemas.microsoft.com/sharepoint/v3/contenttype/forms"/>
  </ds:schemaRefs>
</ds:datastoreItem>
</file>

<file path=customXml/itemProps5.xml><?xml version="1.0" encoding="utf-8"?>
<ds:datastoreItem xmlns:ds="http://schemas.openxmlformats.org/officeDocument/2006/customXml" ds:itemID="{FDE3E7E2-6700-438B-80DF-F4EEDE31FDAF}">
  <ds:schemaRefs>
    <ds:schemaRef ds:uri="http://schemas.openxmlformats.org/package/2006/metadata/core-properties"/>
    <ds:schemaRef ds:uri="http://schemas.microsoft.com/office/2006/metadata/properties"/>
    <ds:schemaRef ds:uri="f3b525b9-d1ae-4d06-a8a3-f4f1f8c9f6b0"/>
    <ds:schemaRef ds:uri="http://schemas.microsoft.com/office/2006/documentManagement/types"/>
    <ds:schemaRef ds:uri="http://purl.org/dc/elements/1.1/"/>
    <ds:schemaRef ds:uri="http://purl.org/dc/terms/"/>
    <ds:schemaRef ds:uri="http://purl.org/dc/dcmitype/"/>
    <ds:schemaRef ds:uri="e6a1ff41-1602-428f-9ee7-425182238c6e"/>
    <ds:schemaRef ds:uri="http://schemas.microsoft.com/sharepoint/v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Policy template suggestion v5 - KC 01 04 20</Template>
  <TotalTime>15</TotalTime>
  <Pages>7</Pages>
  <Words>2074</Words>
  <Characters>11827</Characters>
  <Application>Microsoft Office Word</Application>
  <DocSecurity>2</DocSecurity>
  <Lines>98</Lines>
  <Paragraphs>27</Paragraphs>
  <ScaleCrop>false</ScaleCrop>
  <HeadingPairs>
    <vt:vector size="2" baseType="variant">
      <vt:variant>
        <vt:lpstr>Title</vt:lpstr>
      </vt:variant>
      <vt:variant>
        <vt:i4>1</vt:i4>
      </vt:variant>
    </vt:vector>
  </HeadingPairs>
  <TitlesOfParts>
    <vt:vector size="1" baseType="lpstr">
      <vt:lpstr>HCT Rent Setting Policy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HCT Rent Setting Policy </dc:title>
  <dc:subject/>
  <cp:keywords/>
  <dc:description/>
  <cp:lastModifiedBy>Liz Waterhouse</cp:lastModifiedBy>
  <cp:revision>30</cp:revision>
  <cp:lastPrinted>2019-08-16T06:09:00Z</cp:lastPrinted>
  <dcterms:created xsi:type="dcterms:W3CDTF">2020-09-07T22:46:00Z</dcterms:created>
  <dcterms:modified xsi:type="dcterms:W3CDTF">2022-08-05T08:46:00Z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Order">
    <vt:r8>76800</vt:r8>
  </property>
  <property fmtid="{D5CDD505-2E9C-101B-9397-08002B2CF9AE}" pid="4" name="_dlc_DocIdItemGuid">
    <vt:lpwstr>6ce3d6e6-052b-5035-ac20-01295b7439f7</vt:lpwstr>
  </property>
  <property fmtid="{D5CDD505-2E9C-101B-9397-08002B2CF9AE}" pid="5" name="TaxKeyword">
    <vt:lpwstr/>
  </property>
</Properties>
</file>