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C080" w14:textId="14BD022A" w:rsidR="00BC5A00" w:rsidRPr="00407F1D" w:rsidRDefault="00BC5A00" w:rsidP="00CA50B4">
      <w:pPr>
        <w:ind w:right="3542"/>
        <w:rPr>
          <w:rFonts w:cs="Arial"/>
          <w:b/>
          <w:bCs/>
          <w:color w:val="FFFFFF" w:themeColor="background1"/>
          <w:sz w:val="48"/>
          <w:szCs w:val="48"/>
        </w:rPr>
      </w:pPr>
      <w:r w:rsidRPr="00407F1D">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57F6C3E0" wp14:editId="30C54E34">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EndPr/>
                            <w:sdtContent>
                              <w:p w14:paraId="3F32E976" w14:textId="0BF76757" w:rsidR="00CA50B4" w:rsidRPr="005F54D4" w:rsidRDefault="004327A3"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1F33271D"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087055CF" w14:textId="260CC28D" w:rsidR="00BC5A00" w:rsidRPr="005F54D4" w:rsidRDefault="004327A3"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1.0</w:t>
                                </w:r>
                              </w:p>
                            </w:sdtContent>
                          </w:sdt>
                          <w:p w14:paraId="5898AA9C"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FE80D6B790CF474A812DD51E1E54DEE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1-30T21:00:00Z">
                                <w:dateFormat w:val="d/MM/yyyy"/>
                                <w:lid w:val="en-AU"/>
                                <w:storeMappedDataAs w:val="dateTime"/>
                                <w:calendar w:val="gregorian"/>
                              </w:date>
                            </w:sdtPr>
                            <w:sdtEndPr/>
                            <w:sdtContent>
                              <w:p w14:paraId="73D5F64A" w14:textId="4C947AC7" w:rsidR="00921B88" w:rsidRPr="005F54D4" w:rsidRDefault="005029EC" w:rsidP="00E640EA">
                                <w:pPr>
                                  <w:spacing w:before="0" w:after="0"/>
                                  <w:rPr>
                                    <w:rFonts w:cs="Arial"/>
                                    <w:color w:val="FFFFFF" w:themeColor="background1"/>
                                    <w:sz w:val="18"/>
                                    <w:szCs w:val="18"/>
                                  </w:rPr>
                                </w:pPr>
                                <w:r>
                                  <w:rPr>
                                    <w:rFonts w:cs="Arial"/>
                                    <w:color w:val="FFFFFF" w:themeColor="background1"/>
                                    <w:sz w:val="18"/>
                                    <w:szCs w:val="18"/>
                                    <w:lang w:val="en-AU"/>
                                  </w:rPr>
                                  <w:t>30/11/2026</w:t>
                                </w:r>
                              </w:p>
                            </w:sdtContent>
                          </w:sdt>
                          <w:p w14:paraId="725669FE"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2-01T00:00:00Z">
                                <w:dateFormat w:val="d/MM/yyyy"/>
                                <w:lid w:val="en-AU"/>
                                <w:storeMappedDataAs w:val="dateTime"/>
                                <w:calendar w:val="gregorian"/>
                              </w:date>
                            </w:sdtPr>
                            <w:sdtEndPr/>
                            <w:sdtContent>
                              <w:p w14:paraId="782D31E0" w14:textId="6BE43CB3" w:rsidR="006A4E66" w:rsidRPr="005F54D4" w:rsidRDefault="0057491A" w:rsidP="00E640EA">
                                <w:pPr>
                                  <w:spacing w:before="0" w:after="0"/>
                                  <w:rPr>
                                    <w:rFonts w:cs="Arial"/>
                                    <w:color w:val="FFFFFF" w:themeColor="background1"/>
                                    <w:sz w:val="18"/>
                                    <w:szCs w:val="18"/>
                                  </w:rPr>
                                </w:pPr>
                                <w:r>
                                  <w:rPr>
                                    <w:rFonts w:cs="Arial"/>
                                    <w:color w:val="FFFFFF" w:themeColor="background1"/>
                                    <w:sz w:val="18"/>
                                    <w:szCs w:val="18"/>
                                    <w:lang w:val="en-AU"/>
                                  </w:rPr>
                                  <w:t>1/12/2023</w:t>
                                </w:r>
                              </w:p>
                            </w:sdtContent>
                          </w:sdt>
                          <w:p w14:paraId="78DF6146"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2CA3A0DC" w14:textId="09A9A1B2" w:rsidR="007E78B3" w:rsidRPr="005F54D4" w:rsidRDefault="0057491A"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1C5ED717"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6C3E0"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EndPr/>
                      <w:sdtContent>
                        <w:p w14:paraId="3F32E976" w14:textId="0BF76757" w:rsidR="00CA50B4" w:rsidRPr="005F54D4" w:rsidRDefault="004327A3"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1F33271D"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087055CF" w14:textId="260CC28D" w:rsidR="00BC5A00" w:rsidRPr="005F54D4" w:rsidRDefault="004327A3"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1.0</w:t>
                          </w:r>
                        </w:p>
                      </w:sdtContent>
                    </w:sdt>
                    <w:p w14:paraId="5898AA9C"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FE80D6B790CF474A812DD51E1E54DEE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1-30T21:00:00Z">
                          <w:dateFormat w:val="d/MM/yyyy"/>
                          <w:lid w:val="en-AU"/>
                          <w:storeMappedDataAs w:val="dateTime"/>
                          <w:calendar w:val="gregorian"/>
                        </w:date>
                      </w:sdtPr>
                      <w:sdtEndPr/>
                      <w:sdtContent>
                        <w:p w14:paraId="73D5F64A" w14:textId="4C947AC7" w:rsidR="00921B88" w:rsidRPr="005F54D4" w:rsidRDefault="005029EC" w:rsidP="00E640EA">
                          <w:pPr>
                            <w:spacing w:before="0" w:after="0"/>
                            <w:rPr>
                              <w:rFonts w:cs="Arial"/>
                              <w:color w:val="FFFFFF" w:themeColor="background1"/>
                              <w:sz w:val="18"/>
                              <w:szCs w:val="18"/>
                            </w:rPr>
                          </w:pPr>
                          <w:r>
                            <w:rPr>
                              <w:rFonts w:cs="Arial"/>
                              <w:color w:val="FFFFFF" w:themeColor="background1"/>
                              <w:sz w:val="18"/>
                              <w:szCs w:val="18"/>
                              <w:lang w:val="en-AU"/>
                            </w:rPr>
                            <w:t>30/11/2026</w:t>
                          </w:r>
                        </w:p>
                      </w:sdtContent>
                    </w:sdt>
                    <w:p w14:paraId="725669FE"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2-01T00:00:00Z">
                          <w:dateFormat w:val="d/MM/yyyy"/>
                          <w:lid w:val="en-AU"/>
                          <w:storeMappedDataAs w:val="dateTime"/>
                          <w:calendar w:val="gregorian"/>
                        </w:date>
                      </w:sdtPr>
                      <w:sdtEndPr/>
                      <w:sdtContent>
                        <w:p w14:paraId="782D31E0" w14:textId="6BE43CB3" w:rsidR="006A4E66" w:rsidRPr="005F54D4" w:rsidRDefault="0057491A" w:rsidP="00E640EA">
                          <w:pPr>
                            <w:spacing w:before="0" w:after="0"/>
                            <w:rPr>
                              <w:rFonts w:cs="Arial"/>
                              <w:color w:val="FFFFFF" w:themeColor="background1"/>
                              <w:sz w:val="18"/>
                              <w:szCs w:val="18"/>
                            </w:rPr>
                          </w:pPr>
                          <w:r>
                            <w:rPr>
                              <w:rFonts w:cs="Arial"/>
                              <w:color w:val="FFFFFF" w:themeColor="background1"/>
                              <w:sz w:val="18"/>
                              <w:szCs w:val="18"/>
                              <w:lang w:val="en-AU"/>
                            </w:rPr>
                            <w:t>1/12/2023</w:t>
                          </w:r>
                        </w:p>
                      </w:sdtContent>
                    </w:sdt>
                    <w:p w14:paraId="78DF6146"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2CA3A0DC" w14:textId="09A9A1B2" w:rsidR="007E78B3" w:rsidRPr="005F54D4" w:rsidRDefault="0057491A"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1C5ED717"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327A3">
            <w:rPr>
              <w:rStyle w:val="TitleChar"/>
            </w:rPr>
            <w:t>Commencing a Tenancy Policy</w:t>
          </w:r>
        </w:sdtContent>
      </w:sdt>
    </w:p>
    <w:p w14:paraId="4EF5CD6F" w14:textId="77777777" w:rsidR="00BC5A00" w:rsidRPr="00407F1D" w:rsidRDefault="00BC5A00" w:rsidP="00CA50B4">
      <w:pPr>
        <w:ind w:right="3542"/>
        <w:rPr>
          <w:rFonts w:cs="Arial"/>
        </w:rPr>
      </w:pPr>
    </w:p>
    <w:p w14:paraId="46D6FA7C" w14:textId="77777777" w:rsidR="00CA50B4" w:rsidRPr="00407F1D" w:rsidRDefault="00CA50B4">
      <w:pPr>
        <w:rPr>
          <w:rFonts w:cs="Arial"/>
        </w:rPr>
        <w:sectPr w:rsidR="00CA50B4" w:rsidRPr="00407F1D" w:rsidSect="002B5AEE">
          <w:headerReference w:type="even" r:id="rId13"/>
          <w:headerReference w:type="default" r:id="rId14"/>
          <w:footerReference w:type="even" r:id="rId15"/>
          <w:footerReference w:type="default" r:id="rId16"/>
          <w:headerReference w:type="first" r:id="rId17"/>
          <w:footerReference w:type="first" r:id="rId18"/>
          <w:type w:val="continuous"/>
          <w:pgSz w:w="11900" w:h="16840"/>
          <w:pgMar w:top="488" w:right="256" w:bottom="1440" w:left="589" w:header="333" w:footer="708" w:gutter="0"/>
          <w:cols w:space="4535"/>
          <w:titlePg/>
          <w:docGrid w:linePitch="360"/>
        </w:sectPr>
      </w:pPr>
    </w:p>
    <w:p w14:paraId="405434BF" w14:textId="77777777" w:rsidR="00CA50B4" w:rsidRPr="00407F1D" w:rsidRDefault="00CA50B4" w:rsidP="00CA50B4">
      <w:pPr>
        <w:tabs>
          <w:tab w:val="left" w:pos="8080"/>
        </w:tabs>
        <w:rPr>
          <w:rFonts w:cs="Arial"/>
          <w:b/>
          <w:bCs/>
          <w:sz w:val="20"/>
          <w:szCs w:val="20"/>
        </w:rPr>
      </w:pPr>
    </w:p>
    <w:p w14:paraId="79786B16" w14:textId="77777777" w:rsidR="00BC5A00" w:rsidRDefault="00BC5A00">
      <w:pPr>
        <w:rPr>
          <w:rFonts w:cs="Arial"/>
        </w:rPr>
      </w:pPr>
    </w:p>
    <w:p w14:paraId="1BB113D2" w14:textId="77777777" w:rsidR="00133AAC" w:rsidRPr="00407F1D" w:rsidRDefault="00133AAC">
      <w:pPr>
        <w:rPr>
          <w:rFonts w:cs="Arial"/>
        </w:rPr>
      </w:pPr>
    </w:p>
    <w:p w14:paraId="73521742" w14:textId="77777777" w:rsidR="003873DC" w:rsidRPr="00407F1D" w:rsidRDefault="003873DC">
      <w:pPr>
        <w:rPr>
          <w:rFonts w:cs="Arial"/>
        </w:rPr>
      </w:pPr>
    </w:p>
    <w:p w14:paraId="2F53331E" w14:textId="77777777" w:rsidR="00BC5A00" w:rsidRPr="00407F1D" w:rsidRDefault="00BC5A00">
      <w:pPr>
        <w:rPr>
          <w:rFonts w:cs="Arial"/>
        </w:rPr>
      </w:pPr>
    </w:p>
    <w:p w14:paraId="25DCCE5B" w14:textId="77777777" w:rsidR="00CA50B4" w:rsidRPr="00407F1D" w:rsidRDefault="00CA50B4" w:rsidP="00CA50B4">
      <w:pPr>
        <w:ind w:right="423"/>
        <w:rPr>
          <w:rFonts w:cs="Arial"/>
          <w:b/>
          <w:bCs/>
          <w:color w:val="082E42"/>
          <w:sz w:val="32"/>
          <w:szCs w:val="32"/>
        </w:rPr>
        <w:sectPr w:rsidR="00CA50B4" w:rsidRPr="00407F1D" w:rsidSect="002B5AEE">
          <w:type w:val="continuous"/>
          <w:pgSz w:w="11900" w:h="16840"/>
          <w:pgMar w:top="488" w:right="256" w:bottom="1440" w:left="589" w:header="333" w:footer="708" w:gutter="0"/>
          <w:cols w:space="4535"/>
          <w:titlePg/>
          <w:docGrid w:linePitch="360"/>
        </w:sectPr>
      </w:pPr>
    </w:p>
    <w:p w14:paraId="0C981641" w14:textId="77777777" w:rsidR="004327A3" w:rsidRPr="00184089" w:rsidRDefault="004327A3" w:rsidP="004327A3">
      <w:pPr>
        <w:pStyle w:val="Heading1"/>
      </w:pPr>
      <w:r>
        <w:t>Purpose</w:t>
      </w:r>
    </w:p>
    <w:p w14:paraId="419A80FF" w14:textId="77777777" w:rsidR="004327A3" w:rsidRDefault="004327A3" w:rsidP="004327A3">
      <w:pPr>
        <w:spacing w:line="276" w:lineRule="auto"/>
        <w:ind w:right="282"/>
      </w:pPr>
      <w:r w:rsidRPr="30157BDC">
        <w:rPr>
          <w:rFonts w:eastAsia="Arial" w:cs="Arial"/>
          <w:lang w:val="en-US"/>
        </w:rPr>
        <w:t xml:space="preserve">Housing Choices Australia would like to ensure that your experience commencing a new tenancy is positive and informative. We aim to do this by supplying </w:t>
      </w:r>
      <w:r>
        <w:t xml:space="preserve">clear and useful information to ensure you understand your rights and responsibilities as a resident and how we can support you moving into your new home. </w:t>
      </w:r>
    </w:p>
    <w:p w14:paraId="5F53981E" w14:textId="77777777" w:rsidR="004327A3" w:rsidRPr="00184089" w:rsidRDefault="004327A3" w:rsidP="004327A3">
      <w:pPr>
        <w:pStyle w:val="Heading1"/>
      </w:pPr>
      <w:r w:rsidRPr="008F3A37">
        <w:t>Scope</w:t>
      </w:r>
    </w:p>
    <w:p w14:paraId="24FF9CCE" w14:textId="222D3E4F" w:rsidR="004327A3" w:rsidRPr="00211951" w:rsidRDefault="004327A3" w:rsidP="00211951">
      <w:r w:rsidRPr="00211951">
        <w:rPr>
          <w:rFonts w:eastAsia="Arial" w:cs="Arial"/>
          <w:szCs w:val="22"/>
          <w:lang w:val="en-US"/>
        </w:rPr>
        <w:t>This policy applies to all applicants and former or existing residents entering into a tenancy agreement for a Housing Choices property.</w:t>
      </w:r>
      <w:r w:rsidR="0057491A" w:rsidRPr="00211951">
        <w:rPr>
          <w:rFonts w:eastAsia="Arial" w:cs="Arial"/>
          <w:szCs w:val="22"/>
          <w:lang w:val="en-US"/>
        </w:rPr>
        <w:t xml:space="preserve"> </w:t>
      </w:r>
      <w:r w:rsidR="0057491A" w:rsidRPr="00D11957">
        <w:t>This policy applies to management of regulated community housing within HCA. </w:t>
      </w:r>
    </w:p>
    <w:p w14:paraId="0B59EC0A" w14:textId="77777777" w:rsidR="0057491A" w:rsidRPr="0004426C" w:rsidRDefault="0057491A" w:rsidP="0057491A">
      <w:pPr>
        <w:pStyle w:val="Heading1"/>
      </w:pPr>
      <w:r w:rsidRPr="0004426C">
        <w:t>Scheduled Review</w:t>
      </w:r>
    </w:p>
    <w:p w14:paraId="332946D6" w14:textId="2E25BE9F" w:rsidR="0057491A" w:rsidRPr="00211951" w:rsidRDefault="0057491A" w:rsidP="00211951">
      <w:r>
        <w:t>This policy will be reviewed every three years, following any significant restructure, or in response to legislative or regulatory changes. Consultation will be undertaken across service areas and input welcomed from persons who have been involved in the process of commencing a tenancy.</w:t>
      </w:r>
    </w:p>
    <w:p w14:paraId="7D2F3F82" w14:textId="77777777" w:rsidR="004327A3" w:rsidRDefault="004327A3" w:rsidP="004327A3">
      <w:pPr>
        <w:pStyle w:val="Heading1"/>
      </w:pPr>
      <w:r>
        <w:t>Policy Statement</w:t>
      </w:r>
    </w:p>
    <w:p w14:paraId="18A452AB" w14:textId="77777777" w:rsidR="004327A3" w:rsidRDefault="004327A3" w:rsidP="004327A3">
      <w:r>
        <w:t xml:space="preserve">We want to ensure your transition into your new home is smooth so we will meet with you in person to sign you up for your new property.  You will need to attend your sign-up appointment. </w:t>
      </w:r>
    </w:p>
    <w:p w14:paraId="73042816" w14:textId="77777777" w:rsidR="004327A3" w:rsidRDefault="004327A3" w:rsidP="004327A3">
      <w:r>
        <w:t xml:space="preserve">Your Housing Officer will provide you with a </w:t>
      </w:r>
      <w:proofErr w:type="gramStart"/>
      <w:r>
        <w:t>sign up</w:t>
      </w:r>
      <w:proofErr w:type="gramEnd"/>
      <w:r>
        <w:t xml:space="preserve"> pack and explain all the information you need to know about your tenancy, moving in, your rights and responsibilities, and any other resources you may need.</w:t>
      </w:r>
    </w:p>
    <w:p w14:paraId="0182B627" w14:textId="77777777" w:rsidR="004327A3" w:rsidRDefault="004327A3" w:rsidP="004327A3">
      <w:r>
        <w:t>You can choose to bring along a support person to help you during the process.</w:t>
      </w:r>
    </w:p>
    <w:p w14:paraId="0E92A7D9" w14:textId="77777777" w:rsidR="004327A3" w:rsidRDefault="004327A3" w:rsidP="004327A3">
      <w:r>
        <w:t>If required, we can arrange interpreting services so we can communicate effectively.</w:t>
      </w:r>
    </w:p>
    <w:p w14:paraId="2B3DF3B8" w14:textId="77777777" w:rsidR="004327A3" w:rsidRDefault="004327A3" w:rsidP="004327A3">
      <w:pPr>
        <w:pStyle w:val="Heading2"/>
        <w:ind w:left="0"/>
      </w:pPr>
      <w:r>
        <w:t>Information we need from you</w:t>
      </w:r>
    </w:p>
    <w:p w14:paraId="02BBAE8E" w14:textId="77777777" w:rsidR="004327A3" w:rsidRDefault="004327A3" w:rsidP="004327A3">
      <w:pPr>
        <w:rPr>
          <w:lang w:val="en-AU" w:eastAsia="en-AU"/>
        </w:rPr>
      </w:pPr>
      <w:r>
        <w:rPr>
          <w:lang w:val="en-AU" w:eastAsia="en-AU"/>
        </w:rPr>
        <w:t>We will let you know what information you need to provide. This will generally include:</w:t>
      </w:r>
    </w:p>
    <w:p w14:paraId="75242B1A" w14:textId="77777777" w:rsidR="004327A3" w:rsidRPr="00E2413D" w:rsidRDefault="004327A3" w:rsidP="004327A3">
      <w:pPr>
        <w:pStyle w:val="ListParagraph"/>
        <w:numPr>
          <w:ilvl w:val="0"/>
          <w:numId w:val="16"/>
        </w:numPr>
        <w:rPr>
          <w:lang w:val="en-AU" w:eastAsia="en-AU"/>
        </w:rPr>
      </w:pPr>
      <w:r w:rsidRPr="00E2413D">
        <w:rPr>
          <w:lang w:val="en-AU" w:eastAsia="en-AU"/>
        </w:rPr>
        <w:lastRenderedPageBreak/>
        <w:t>proof of identity documents, current household income, up to date contact information, your preferred method of communication and details about any other people such as carers, advocates or supports you would like to give us consent to talk to about your tenancy.</w:t>
      </w:r>
    </w:p>
    <w:p w14:paraId="07967EC6" w14:textId="77777777" w:rsidR="004327A3" w:rsidRDefault="004327A3" w:rsidP="004327A3">
      <w:pPr>
        <w:pStyle w:val="Heading2"/>
        <w:ind w:left="0"/>
      </w:pPr>
      <w:r>
        <w:t xml:space="preserve">Information we will provide you </w:t>
      </w:r>
    </w:p>
    <w:p w14:paraId="338A172C" w14:textId="5A2B6BF1" w:rsidR="004327A3" w:rsidRDefault="004327A3" w:rsidP="004327A3">
      <w:pPr>
        <w:rPr>
          <w:lang w:val="en-AU" w:eastAsia="en-AU"/>
        </w:rPr>
      </w:pPr>
      <w:r>
        <w:rPr>
          <w:lang w:val="en-AU" w:eastAsia="en-AU"/>
        </w:rPr>
        <w:t xml:space="preserve">Your </w:t>
      </w:r>
      <w:r w:rsidR="00211951">
        <w:rPr>
          <w:lang w:val="en-AU" w:eastAsia="en-AU"/>
        </w:rPr>
        <w:t>sign-up</w:t>
      </w:r>
      <w:r>
        <w:rPr>
          <w:lang w:val="en-AU" w:eastAsia="en-AU"/>
        </w:rPr>
        <w:t xml:space="preserve"> pack will include the information you need to understand your tenancy</w:t>
      </w:r>
      <w:r w:rsidRPr="004C4215">
        <w:rPr>
          <w:lang w:val="en-AU" w:eastAsia="en-AU"/>
        </w:rPr>
        <w:t>. This will generally include</w:t>
      </w:r>
      <w:r>
        <w:rPr>
          <w:lang w:val="en-AU" w:eastAsia="en-AU"/>
        </w:rPr>
        <w:t>:</w:t>
      </w:r>
    </w:p>
    <w:p w14:paraId="53A7B106" w14:textId="77777777" w:rsidR="004327A3" w:rsidRPr="00282E98" w:rsidRDefault="004327A3" w:rsidP="004327A3">
      <w:pPr>
        <w:rPr>
          <w:b/>
          <w:lang w:val="en-AU" w:eastAsia="en-AU"/>
        </w:rPr>
      </w:pPr>
      <w:r w:rsidRPr="00282E98">
        <w:rPr>
          <w:b/>
        </w:rPr>
        <w:t>Tenancy Agreement</w:t>
      </w:r>
    </w:p>
    <w:p w14:paraId="633F1C4D" w14:textId="77777777" w:rsidR="004327A3" w:rsidRDefault="004327A3" w:rsidP="004327A3">
      <w:pPr>
        <w:rPr>
          <w:lang w:val="en-AU" w:eastAsia="en-AU"/>
        </w:rPr>
      </w:pPr>
      <w:r>
        <w:rPr>
          <w:lang w:val="en-AU" w:eastAsia="en-AU"/>
        </w:rPr>
        <w:t xml:space="preserve">The Tenancy Agreement is a written contract between you and Housing Choices stating the rights and responsibilities of each party. The terms of the agreement are in line with </w:t>
      </w:r>
      <w:proofErr w:type="gramStart"/>
      <w:r>
        <w:rPr>
          <w:lang w:val="en-AU" w:eastAsia="en-AU"/>
        </w:rPr>
        <w:t>state based</w:t>
      </w:r>
      <w:proofErr w:type="gramEnd"/>
      <w:r>
        <w:rPr>
          <w:lang w:val="en-AU" w:eastAsia="en-AU"/>
        </w:rPr>
        <w:t xml:space="preserve"> legislation. </w:t>
      </w:r>
    </w:p>
    <w:p w14:paraId="072DB01C" w14:textId="77777777" w:rsidR="004327A3" w:rsidRDefault="004327A3" w:rsidP="004327A3">
      <w:pPr>
        <w:rPr>
          <w:lang w:val="en-AU" w:eastAsia="en-AU"/>
        </w:rPr>
      </w:pPr>
      <w:r>
        <w:rPr>
          <w:lang w:val="en-AU" w:eastAsia="en-AU"/>
        </w:rPr>
        <w:t xml:space="preserve">So that you can feel secure in your tenancy, we will generally commence you on a lease which does not have a set end date. Certain programs may require a fixed term </w:t>
      </w:r>
      <w:proofErr w:type="gramStart"/>
      <w:r>
        <w:rPr>
          <w:lang w:val="en-AU" w:eastAsia="en-AU"/>
        </w:rPr>
        <w:t>lease</w:t>
      </w:r>
      <w:proofErr w:type="gramEnd"/>
      <w:r>
        <w:rPr>
          <w:lang w:val="en-AU" w:eastAsia="en-AU"/>
        </w:rPr>
        <w:t xml:space="preserve"> and we will make you aware of the reasons why.</w:t>
      </w:r>
    </w:p>
    <w:p w14:paraId="7EC9D87E" w14:textId="77777777" w:rsidR="004327A3" w:rsidRDefault="004327A3" w:rsidP="004327A3">
      <w:pPr>
        <w:rPr>
          <w:lang w:val="en-AU" w:eastAsia="en-AU"/>
        </w:rPr>
      </w:pPr>
      <w:r w:rsidRPr="473705B8">
        <w:rPr>
          <w:lang w:val="en-AU" w:eastAsia="en-AU"/>
        </w:rPr>
        <w:t xml:space="preserve">We will give you a copy of your tenancy agreement and explain the key terms before you sign it. Your agreement will be written in English, and we will </w:t>
      </w:r>
      <w:proofErr w:type="gramStart"/>
      <w:r w:rsidRPr="473705B8">
        <w:rPr>
          <w:lang w:val="en-AU" w:eastAsia="en-AU"/>
        </w:rPr>
        <w:t>provide assistance</w:t>
      </w:r>
      <w:proofErr w:type="gramEnd"/>
      <w:r w:rsidRPr="473705B8">
        <w:rPr>
          <w:lang w:val="en-AU" w:eastAsia="en-AU"/>
        </w:rPr>
        <w:t xml:space="preserve"> with other languages if you need it.</w:t>
      </w:r>
    </w:p>
    <w:p w14:paraId="20834E10" w14:textId="77777777" w:rsidR="004327A3" w:rsidRPr="00282E98" w:rsidRDefault="004327A3" w:rsidP="004327A3">
      <w:pPr>
        <w:rPr>
          <w:b/>
          <w:bCs/>
        </w:rPr>
      </w:pPr>
      <w:r w:rsidRPr="30157BDC">
        <w:rPr>
          <w:b/>
          <w:bCs/>
        </w:rPr>
        <w:t>Property Condition report</w:t>
      </w:r>
    </w:p>
    <w:p w14:paraId="6856920E" w14:textId="77777777" w:rsidR="004327A3" w:rsidRDefault="004327A3" w:rsidP="004327A3">
      <w:pPr>
        <w:spacing w:line="276" w:lineRule="auto"/>
        <w:rPr>
          <w:rFonts w:cs="Arial"/>
          <w:shd w:val="clear" w:color="auto" w:fill="FFFFFF"/>
        </w:rPr>
      </w:pPr>
      <w:r w:rsidRPr="30157BDC">
        <w:rPr>
          <w:rFonts w:cs="Arial"/>
          <w:shd w:val="clear" w:color="auto" w:fill="FFFFFF"/>
        </w:rPr>
        <w:t>The property condition report includes photos and describes the condition of the property at the start of your tenancy.</w:t>
      </w:r>
    </w:p>
    <w:p w14:paraId="5C2DFF8C" w14:textId="77777777" w:rsidR="004327A3" w:rsidRDefault="004327A3" w:rsidP="004327A3">
      <w:pPr>
        <w:spacing w:line="276" w:lineRule="auto"/>
        <w:rPr>
          <w:rFonts w:cs="Arial"/>
          <w:shd w:val="clear" w:color="auto" w:fill="FFFFFF"/>
        </w:rPr>
      </w:pPr>
      <w:r w:rsidRPr="473705B8">
        <w:rPr>
          <w:rFonts w:cs="Arial"/>
          <w:shd w:val="clear" w:color="auto" w:fill="FFFFFF"/>
        </w:rPr>
        <w:t>We will give you two copies of the property condition report. You should check the report and if anything is not right you can request to change it by returning an updated copy (keep one copy for yourself)</w:t>
      </w:r>
      <w:r>
        <w:rPr>
          <w:rFonts w:cs="Arial"/>
          <w:shd w:val="clear" w:color="auto" w:fill="FFFFFF"/>
        </w:rPr>
        <w:t xml:space="preserve"> within the required timeframe specified in the Residential Tenancies Act. </w:t>
      </w:r>
    </w:p>
    <w:p w14:paraId="6BB17D3E" w14:textId="77777777" w:rsidR="004327A3" w:rsidRDefault="004327A3" w:rsidP="004327A3">
      <w:pPr>
        <w:spacing w:line="276" w:lineRule="auto"/>
        <w:rPr>
          <w:rFonts w:cs="Arial"/>
          <w:szCs w:val="22"/>
          <w:shd w:val="clear" w:color="auto" w:fill="FFFFFF"/>
        </w:rPr>
      </w:pPr>
      <w:r>
        <w:rPr>
          <w:rFonts w:cs="Arial"/>
          <w:szCs w:val="22"/>
          <w:shd w:val="clear" w:color="auto" w:fill="FFFFFF"/>
        </w:rPr>
        <w:t>The report will be used as evidence if there is any dispute about returning your bond at the end of your tenancy.</w:t>
      </w:r>
    </w:p>
    <w:p w14:paraId="131E9622" w14:textId="77777777" w:rsidR="004327A3" w:rsidRDefault="004327A3" w:rsidP="004327A3">
      <w:pPr>
        <w:spacing w:line="276" w:lineRule="auto"/>
        <w:rPr>
          <w:rFonts w:cs="Arial"/>
          <w:shd w:val="clear" w:color="auto" w:fill="FFFFFF"/>
        </w:rPr>
      </w:pPr>
      <w:r w:rsidRPr="30157BDC">
        <w:rPr>
          <w:rFonts w:cs="Arial"/>
          <w:shd w:val="clear" w:color="auto" w:fill="FFFFFF"/>
        </w:rPr>
        <w:t>It will be your responsibility to ensure the property is maintained to a reasonable standard. You may be held liable for any property damage beyond reasonable wear and tear. An information sheet</w:t>
      </w:r>
      <w:r>
        <w:rPr>
          <w:rFonts w:cs="Arial"/>
          <w:shd w:val="clear" w:color="auto" w:fill="FFFFFF"/>
        </w:rPr>
        <w:t xml:space="preserve"> about maintaining your property</w:t>
      </w:r>
      <w:r w:rsidRPr="30157BDC">
        <w:rPr>
          <w:rFonts w:cs="Arial"/>
          <w:shd w:val="clear" w:color="auto" w:fill="FFFFFF"/>
        </w:rPr>
        <w:t xml:space="preserve"> will be provided in your </w:t>
      </w:r>
      <w:proofErr w:type="gramStart"/>
      <w:r w:rsidRPr="30157BDC">
        <w:rPr>
          <w:rFonts w:cs="Arial"/>
          <w:shd w:val="clear" w:color="auto" w:fill="FFFFFF"/>
        </w:rPr>
        <w:t>sign up</w:t>
      </w:r>
      <w:proofErr w:type="gramEnd"/>
      <w:r w:rsidRPr="30157BDC">
        <w:rPr>
          <w:rFonts w:cs="Arial"/>
          <w:shd w:val="clear" w:color="auto" w:fill="FFFFFF"/>
        </w:rPr>
        <w:t xml:space="preserve"> pack.</w:t>
      </w:r>
    </w:p>
    <w:p w14:paraId="17724B54" w14:textId="77777777" w:rsidR="004327A3" w:rsidRPr="00166D20" w:rsidRDefault="004327A3" w:rsidP="004327A3">
      <w:pPr>
        <w:rPr>
          <w:b/>
          <w:bCs/>
        </w:rPr>
      </w:pPr>
      <w:r w:rsidRPr="30157BDC">
        <w:rPr>
          <w:b/>
          <w:bCs/>
        </w:rPr>
        <w:t xml:space="preserve">Rent </w:t>
      </w:r>
    </w:p>
    <w:p w14:paraId="16C0991B" w14:textId="77777777" w:rsidR="004327A3" w:rsidRDefault="004327A3" w:rsidP="004327A3">
      <w:pPr>
        <w:spacing w:line="276" w:lineRule="auto"/>
        <w:rPr>
          <w:lang w:val="en-AU" w:eastAsia="en-AU"/>
        </w:rPr>
      </w:pPr>
      <w:r w:rsidRPr="30157BDC">
        <w:rPr>
          <w:rFonts w:cs="Arial"/>
        </w:rPr>
        <w:t>We will explain to you how your rent amount has been calculated, let</w:t>
      </w:r>
      <w:r w:rsidRPr="30157BDC">
        <w:rPr>
          <w:lang w:val="en-AU" w:eastAsia="en-AU"/>
        </w:rPr>
        <w:t xml:space="preserve"> you know methods for how you can make your rental payments and when they are due. We will also explain how we will manage rent arrears should your payments fall behind, and on what basis rent reviews will be conducted during your tenancy. You can find more information about rent management on our website.</w:t>
      </w:r>
    </w:p>
    <w:p w14:paraId="75BE4E23" w14:textId="77777777" w:rsidR="004327A3" w:rsidRPr="002B5D65" w:rsidRDefault="004327A3" w:rsidP="004327A3">
      <w:pPr>
        <w:rPr>
          <w:b/>
        </w:rPr>
      </w:pPr>
      <w:r w:rsidRPr="002B5D65">
        <w:rPr>
          <w:b/>
        </w:rPr>
        <w:t>Customer service, feedback, and complaints</w:t>
      </w:r>
    </w:p>
    <w:p w14:paraId="20C890CC" w14:textId="77777777" w:rsidR="004327A3" w:rsidRDefault="004327A3" w:rsidP="004327A3">
      <w:pPr>
        <w:rPr>
          <w:lang w:val="en-AU" w:eastAsia="en-AU"/>
        </w:rPr>
      </w:pPr>
      <w:r w:rsidRPr="30157BDC">
        <w:rPr>
          <w:rFonts w:cs="Arial"/>
        </w:rPr>
        <w:lastRenderedPageBreak/>
        <w:t>At Housing Choices, we are committed to supplying quality housing services and an exceptional resident experience. You will be provided with a copy of our</w:t>
      </w:r>
      <w:r w:rsidRPr="30157BDC">
        <w:rPr>
          <w:lang w:val="en-AU" w:eastAsia="en-AU"/>
        </w:rPr>
        <w:t xml:space="preserve"> National Housing Service Standards which details the customer service you can expect to receive from Housing Choices.</w:t>
      </w:r>
    </w:p>
    <w:p w14:paraId="4967B428" w14:textId="77777777" w:rsidR="004327A3" w:rsidRPr="001F4836" w:rsidRDefault="004327A3" w:rsidP="004327A3">
      <w:pPr>
        <w:rPr>
          <w:rFonts w:cs="Arial"/>
        </w:rPr>
      </w:pPr>
      <w:r w:rsidRPr="30157BDC">
        <w:rPr>
          <w:lang w:val="en-AU" w:eastAsia="en-AU"/>
        </w:rPr>
        <w:t xml:space="preserve">We value your feedback – both compliments and complaints. </w:t>
      </w:r>
      <w:r w:rsidRPr="30157BDC">
        <w:rPr>
          <w:rFonts w:cs="Arial"/>
        </w:rPr>
        <w:t xml:space="preserve">When you tell us about your experiences with us it helps us understand what you need from our services and how we can improve them. If you feel that we have not dealt with things properly or we have not provided you with the service you expected, you can make a complaint. You can find more information in our Feedback and Complaints Brochure which will be provided to you at sign up. </w:t>
      </w:r>
    </w:p>
    <w:p w14:paraId="2A773867" w14:textId="77777777" w:rsidR="004327A3" w:rsidRPr="00794798" w:rsidRDefault="004327A3" w:rsidP="004327A3">
      <w:pPr>
        <w:pStyle w:val="Heading2"/>
        <w:ind w:left="0"/>
      </w:pPr>
      <w:r>
        <w:t>Finalising your sign up</w:t>
      </w:r>
    </w:p>
    <w:p w14:paraId="3ABB810A" w14:textId="77777777" w:rsidR="004327A3" w:rsidRDefault="004327A3" w:rsidP="004327A3">
      <w:pPr>
        <w:rPr>
          <w:rFonts w:cs="Arial"/>
        </w:rPr>
      </w:pPr>
      <w:r>
        <w:rPr>
          <w:rFonts w:cs="Arial"/>
        </w:rPr>
        <w:t xml:space="preserve">Payment of rent in advance and a bond will be required to commence your tenancy. </w:t>
      </w:r>
    </w:p>
    <w:p w14:paraId="46522A42" w14:textId="77777777" w:rsidR="004327A3" w:rsidRDefault="004327A3" w:rsidP="004327A3">
      <w:pPr>
        <w:spacing w:line="276" w:lineRule="auto"/>
      </w:pPr>
      <w:r>
        <w:t xml:space="preserve">A bond acts as a security deposit </w:t>
      </w:r>
      <w:proofErr w:type="gramStart"/>
      <w:r>
        <w:t>in the event that</w:t>
      </w:r>
      <w:proofErr w:type="gramEnd"/>
      <w:r>
        <w:t xml:space="preserve"> you do not meet the terms of your tenancy agreement and is held by an external bond authority for the duration of your tenancy. The bond will be returned to you when you move out unless, there is a dispute over things like the condition of the property.</w:t>
      </w:r>
    </w:p>
    <w:p w14:paraId="592C06B5" w14:textId="77777777" w:rsidR="004327A3" w:rsidRDefault="004327A3" w:rsidP="004327A3">
      <w:pPr>
        <w:spacing w:line="276" w:lineRule="auto"/>
      </w:pPr>
      <w:r>
        <w:t>The bond amount is generally equivalent to four weeks rent. If you are unable to pay the full bond, we can provide you with information about applying for bond loan assistance (subject to eligibility).</w:t>
      </w:r>
    </w:p>
    <w:p w14:paraId="090A3AB4" w14:textId="77777777" w:rsidR="004327A3" w:rsidRDefault="004327A3" w:rsidP="004327A3">
      <w:pPr>
        <w:spacing w:line="276" w:lineRule="auto"/>
        <w:rPr>
          <w:szCs w:val="22"/>
        </w:rPr>
      </w:pPr>
      <w:r>
        <w:rPr>
          <w:szCs w:val="22"/>
        </w:rPr>
        <w:t>Bond and rent are separate payments. Bond cannot be used to pay rent.</w:t>
      </w:r>
    </w:p>
    <w:p w14:paraId="687AC2E9" w14:textId="77777777" w:rsidR="004327A3" w:rsidRPr="0004426C" w:rsidRDefault="004327A3" w:rsidP="004327A3">
      <w:pPr>
        <w:pStyle w:val="Heading2"/>
        <w:spacing w:before="100" w:after="100"/>
        <w:ind w:left="0"/>
      </w:pPr>
      <w:r w:rsidRPr="0004426C">
        <w:t>M</w:t>
      </w:r>
      <w:r>
        <w:t>OVING IN</w:t>
      </w:r>
    </w:p>
    <w:p w14:paraId="48945556" w14:textId="77777777" w:rsidR="004327A3" w:rsidRDefault="004327A3" w:rsidP="004327A3">
      <w:pPr>
        <w:pStyle w:val="Heading1"/>
        <w:spacing w:line="276" w:lineRule="auto"/>
        <w:rPr>
          <w:b w:val="0"/>
          <w:bCs w:val="0"/>
          <w:color w:val="auto"/>
          <w:sz w:val="22"/>
          <w:szCs w:val="22"/>
        </w:rPr>
      </w:pPr>
      <w:r w:rsidRPr="473705B8">
        <w:rPr>
          <w:b w:val="0"/>
          <w:bCs w:val="0"/>
          <w:color w:val="auto"/>
          <w:sz w:val="22"/>
          <w:szCs w:val="22"/>
        </w:rPr>
        <w:t xml:space="preserve">We will organise a convenient date and time with you to move into your home, particularly if there are any specific requirements around the property i.e. use of lifts in an apartment building. </w:t>
      </w:r>
    </w:p>
    <w:p w14:paraId="7D9AA545" w14:textId="77777777" w:rsidR="004327A3" w:rsidRPr="00A86425" w:rsidRDefault="004327A3" w:rsidP="004327A3">
      <w:r>
        <w:t xml:space="preserve">Before moving in, you will need to </w:t>
      </w:r>
      <w:proofErr w:type="gramStart"/>
      <w:r>
        <w:t>make arrangements</w:t>
      </w:r>
      <w:proofErr w:type="gramEnd"/>
      <w:r>
        <w:t xml:space="preserve"> for utility services to be connected, such as electricity, gas, water, and internet.</w:t>
      </w:r>
    </w:p>
    <w:p w14:paraId="30C350E3" w14:textId="77777777" w:rsidR="004327A3" w:rsidRPr="0004426C" w:rsidRDefault="004327A3" w:rsidP="004327A3">
      <w:pPr>
        <w:pStyle w:val="Heading2"/>
        <w:spacing w:before="100" w:after="100"/>
        <w:ind w:left="0"/>
      </w:pPr>
      <w:r>
        <w:t>FIRST HOME VISIT</w:t>
      </w:r>
    </w:p>
    <w:p w14:paraId="5002E204" w14:textId="77777777" w:rsidR="004327A3" w:rsidRDefault="004327A3" w:rsidP="004327A3">
      <w:pPr>
        <w:spacing w:line="276" w:lineRule="auto"/>
        <w:rPr>
          <w:rFonts w:cs="Arial"/>
        </w:rPr>
      </w:pPr>
      <w:r>
        <w:rPr>
          <w:rFonts w:cs="Arial"/>
        </w:rPr>
        <w:t>During your</w:t>
      </w:r>
      <w:r w:rsidRPr="30157BDC">
        <w:rPr>
          <w:rFonts w:cs="Arial"/>
        </w:rPr>
        <w:t xml:space="preserve"> </w:t>
      </w:r>
      <w:proofErr w:type="gramStart"/>
      <w:r w:rsidRPr="30157BDC">
        <w:rPr>
          <w:rFonts w:cs="Arial"/>
        </w:rPr>
        <w:t>sign up</w:t>
      </w:r>
      <w:proofErr w:type="gramEnd"/>
      <w:r w:rsidRPr="30157BDC">
        <w:rPr>
          <w:rFonts w:cs="Arial"/>
        </w:rPr>
        <w:t xml:space="preserve"> appointment, we will schedule with you a suitable date and time to visit you at your new home within the first 6 weeks of moving in. The purpose of this visit is to ensure that you have settled in and gives you the opportunity to ask any questions you may have about the property, your rental payments and your neighbourhood, and any </w:t>
      </w:r>
      <w:r>
        <w:rPr>
          <w:rFonts w:cs="Arial"/>
        </w:rPr>
        <w:t>other queries you may have.</w:t>
      </w:r>
      <w:r w:rsidRPr="30157BDC">
        <w:rPr>
          <w:rFonts w:cs="Arial"/>
        </w:rPr>
        <w:t xml:space="preserve"> Your Housing Officer can help connect you with any additional services you may need.</w:t>
      </w:r>
    </w:p>
    <w:p w14:paraId="19A58D38" w14:textId="77777777" w:rsidR="004327A3" w:rsidRPr="0004426C" w:rsidRDefault="004327A3" w:rsidP="004327A3">
      <w:pPr>
        <w:pStyle w:val="Heading1"/>
      </w:pPr>
      <w:r w:rsidRPr="0004426C">
        <w:t>Scheduled Review</w:t>
      </w:r>
    </w:p>
    <w:p w14:paraId="7F27680B" w14:textId="77777777" w:rsidR="004327A3" w:rsidRPr="000F14A0" w:rsidRDefault="004327A3" w:rsidP="004327A3">
      <w:r>
        <w:t>This policy will be reviewed every three years, following any significant restructure, or in response to legislative or regulatory changes. Consultation will be undertaken across service areas and input welcomed from persons who have been involved in the process of commencing a tenancy.</w:t>
      </w:r>
    </w:p>
    <w:p w14:paraId="25CF71DF" w14:textId="77777777" w:rsidR="004327A3" w:rsidRPr="00B20CA0" w:rsidRDefault="004327A3" w:rsidP="004327A3">
      <w:pPr>
        <w:pStyle w:val="Heading1"/>
      </w:pPr>
      <w:r w:rsidRPr="0004426C">
        <w:lastRenderedPageBreak/>
        <w:t>References</w:t>
      </w:r>
      <w:r>
        <w:t>:</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4327A3" w:rsidRPr="00474C66" w14:paraId="7AF694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25045DD" w14:textId="77777777" w:rsidR="004327A3" w:rsidRPr="00474C66" w:rsidRDefault="004327A3">
            <w:pPr>
              <w:spacing w:before="20" w:after="20" w:line="259" w:lineRule="auto"/>
              <w:jc w:val="center"/>
              <w:rPr>
                <w:rFonts w:cs="Arial"/>
                <w:color w:val="auto"/>
                <w:lang w:val="en-US"/>
              </w:rPr>
            </w:pPr>
            <w:r w:rsidRPr="00474C66">
              <w:rPr>
                <w:rFonts w:cs="Arial"/>
                <w:color w:val="auto"/>
                <w:lang w:val="en-US"/>
              </w:rPr>
              <w:t>legislation &amp; Standards</w:t>
            </w:r>
          </w:p>
        </w:tc>
        <w:tc>
          <w:tcPr>
            <w:tcW w:w="4673" w:type="dxa"/>
            <w:tcMar>
              <w:top w:w="0" w:type="dxa"/>
              <w:left w:w="108" w:type="dxa"/>
              <w:bottom w:w="28" w:type="dxa"/>
              <w:right w:w="108" w:type="dxa"/>
            </w:tcMar>
            <w:hideMark/>
          </w:tcPr>
          <w:p w14:paraId="7C94FE8E" w14:textId="77777777" w:rsidR="004327A3" w:rsidRPr="00474C66" w:rsidRDefault="004327A3">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474C66">
              <w:rPr>
                <w:rFonts w:cs="Arial"/>
                <w:color w:val="auto"/>
                <w:lang w:val="en-US"/>
              </w:rPr>
              <w:t>Related INternal documents</w:t>
            </w:r>
          </w:p>
        </w:tc>
      </w:tr>
      <w:tr w:rsidR="004327A3" w:rsidRPr="00474C66" w14:paraId="32CFC31A" w14:textId="77777777">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0AD047D" w14:textId="77777777" w:rsidR="004327A3" w:rsidRPr="009C7F3A" w:rsidRDefault="004327A3" w:rsidP="004327A3">
            <w:pPr>
              <w:pStyle w:val="ListParagraph"/>
              <w:numPr>
                <w:ilvl w:val="0"/>
                <w:numId w:val="15"/>
              </w:numPr>
              <w:rPr>
                <w:lang w:eastAsia="en-AU"/>
              </w:rPr>
            </w:pPr>
            <w:r w:rsidRPr="009C7F3A">
              <w:rPr>
                <w:lang w:eastAsia="en-AU"/>
              </w:rPr>
              <w:t xml:space="preserve">Residential Tenancies Act </w:t>
            </w:r>
            <w:r>
              <w:rPr>
                <w:lang w:eastAsia="en-AU"/>
              </w:rPr>
              <w:t>1997 (Vic)</w:t>
            </w:r>
          </w:p>
          <w:p w14:paraId="68921C94" w14:textId="77777777" w:rsidR="004327A3" w:rsidRPr="009C7F3A" w:rsidRDefault="004327A3" w:rsidP="004327A3">
            <w:pPr>
              <w:pStyle w:val="ListParagraph"/>
              <w:numPr>
                <w:ilvl w:val="0"/>
                <w:numId w:val="15"/>
              </w:numPr>
              <w:rPr>
                <w:lang w:eastAsia="en-AU"/>
              </w:rPr>
            </w:pPr>
            <w:r w:rsidRPr="009C7F3A">
              <w:rPr>
                <w:lang w:eastAsia="en-AU"/>
              </w:rPr>
              <w:t>Residential Tenancies Act 1997</w:t>
            </w:r>
            <w:r>
              <w:rPr>
                <w:lang w:eastAsia="en-AU"/>
              </w:rPr>
              <w:t xml:space="preserve"> (Tas)</w:t>
            </w:r>
          </w:p>
          <w:p w14:paraId="485F4C8E" w14:textId="77777777" w:rsidR="004327A3" w:rsidRPr="009C7F3A" w:rsidRDefault="004327A3" w:rsidP="004327A3">
            <w:pPr>
              <w:pStyle w:val="ListParagraph"/>
              <w:numPr>
                <w:ilvl w:val="0"/>
                <w:numId w:val="15"/>
              </w:numPr>
              <w:rPr>
                <w:lang w:eastAsia="en-AU"/>
              </w:rPr>
            </w:pPr>
            <w:r w:rsidRPr="009C7F3A">
              <w:rPr>
                <w:lang w:eastAsia="en-AU"/>
              </w:rPr>
              <w:t>Residential Tenancies Act 1995</w:t>
            </w:r>
            <w:r>
              <w:rPr>
                <w:lang w:eastAsia="en-AU"/>
              </w:rPr>
              <w:t xml:space="preserve"> (SA)</w:t>
            </w:r>
          </w:p>
          <w:p w14:paraId="0B08C7EB" w14:textId="77777777" w:rsidR="004327A3" w:rsidRPr="0047500A" w:rsidRDefault="004327A3" w:rsidP="004327A3">
            <w:pPr>
              <w:pStyle w:val="ListParagraph"/>
              <w:numPr>
                <w:ilvl w:val="0"/>
                <w:numId w:val="15"/>
              </w:numPr>
              <w:rPr>
                <w:lang w:eastAsia="en-AU"/>
              </w:rPr>
            </w:pPr>
            <w:r w:rsidRPr="00276EA1">
              <w:rPr>
                <w:rFonts w:cstheme="minorBidi"/>
                <w:lang w:val="en-GB" w:eastAsia="en-AU"/>
              </w:rPr>
              <w:t>Residential Tenancies Act 1987 (WA)</w:t>
            </w:r>
          </w:p>
          <w:p w14:paraId="6AEA3E29" w14:textId="77777777" w:rsidR="004327A3" w:rsidRDefault="004327A3" w:rsidP="004327A3">
            <w:pPr>
              <w:pStyle w:val="ListParagraph"/>
              <w:numPr>
                <w:ilvl w:val="0"/>
                <w:numId w:val="15"/>
              </w:numPr>
              <w:spacing w:before="0" w:after="0"/>
              <w:rPr>
                <w:rFonts w:cstheme="minorHAnsi"/>
              </w:rPr>
            </w:pPr>
            <w:r>
              <w:rPr>
                <w:rFonts w:cstheme="minorHAnsi"/>
              </w:rPr>
              <w:t>Housing Act 1983 (VIC)</w:t>
            </w:r>
          </w:p>
          <w:p w14:paraId="375FA926" w14:textId="77777777" w:rsidR="004327A3" w:rsidRPr="00E116BB" w:rsidRDefault="004327A3" w:rsidP="004327A3">
            <w:pPr>
              <w:pStyle w:val="ListParagraph"/>
              <w:numPr>
                <w:ilvl w:val="0"/>
                <w:numId w:val="15"/>
              </w:numPr>
              <w:spacing w:before="0" w:after="0"/>
              <w:rPr>
                <w:rFonts w:cstheme="minorHAnsi"/>
              </w:rPr>
            </w:pPr>
            <w:r>
              <w:rPr>
                <w:rFonts w:cstheme="minorHAnsi"/>
              </w:rPr>
              <w:t>Performance Standards for Registered Housing Agencies</w:t>
            </w:r>
          </w:p>
          <w:p w14:paraId="6BE8F330" w14:textId="77777777" w:rsidR="004327A3" w:rsidRPr="00474C66" w:rsidRDefault="004327A3">
            <w:pPr>
              <w:spacing w:before="0" w:after="160" w:line="259" w:lineRule="auto"/>
              <w:rPr>
                <w:rFonts w:cs="Arial"/>
                <w:i/>
                <w:iCs/>
                <w:lang w:val="en-US"/>
              </w:rPr>
            </w:pPr>
          </w:p>
        </w:tc>
        <w:tc>
          <w:tcPr>
            <w:tcW w:w="4673" w:type="dxa"/>
            <w:tcMar>
              <w:top w:w="0" w:type="dxa"/>
              <w:left w:w="108" w:type="dxa"/>
              <w:bottom w:w="28" w:type="dxa"/>
              <w:right w:w="108" w:type="dxa"/>
            </w:tcMar>
          </w:tcPr>
          <w:p w14:paraId="62C67737" w14:textId="77777777" w:rsidR="004327A3" w:rsidRDefault="004327A3">
            <w:pPr>
              <w:cnfStyle w:val="000000000000" w:firstRow="0" w:lastRow="0" w:firstColumn="0" w:lastColumn="0" w:oddVBand="0" w:evenVBand="0" w:oddHBand="0" w:evenHBand="0" w:firstRowFirstColumn="0" w:firstRowLastColumn="0" w:lastRowFirstColumn="0" w:lastRowLastColumn="0"/>
              <w:rPr>
                <w:rStyle w:val="Hyperlink"/>
              </w:rPr>
            </w:pPr>
            <w:hyperlink r:id="rId19" w:history="1">
              <w:r>
                <w:rPr>
                  <w:rStyle w:val="Hyperlink"/>
                </w:rPr>
                <w:t>National Housing Service Standards</w:t>
              </w:r>
            </w:hyperlink>
          </w:p>
          <w:p w14:paraId="72D85FB4" w14:textId="77777777" w:rsidR="004327A3" w:rsidRDefault="004327A3">
            <w:pPr>
              <w:cnfStyle w:val="000000000000" w:firstRow="0" w:lastRow="0" w:firstColumn="0" w:lastColumn="0" w:oddVBand="0" w:evenVBand="0" w:oddHBand="0" w:evenHBand="0" w:firstRowFirstColumn="0" w:firstRowLastColumn="0" w:lastRowFirstColumn="0" w:lastRowLastColumn="0"/>
            </w:pPr>
            <w:r>
              <w:t>Feedback and Complaints Brochure (TBD)</w:t>
            </w:r>
            <w:r w:rsidRPr="00A33F0B">
              <w:t xml:space="preserve"> </w:t>
            </w:r>
          </w:p>
          <w:p w14:paraId="71DC7DB7" w14:textId="77777777" w:rsidR="004327A3" w:rsidRPr="00B54676" w:rsidRDefault="004327A3">
            <w:pPr>
              <w:cnfStyle w:val="000000000000" w:firstRow="0" w:lastRow="0" w:firstColumn="0" w:lastColumn="0" w:oddVBand="0" w:evenVBand="0" w:oddHBand="0" w:evenHBand="0" w:firstRowFirstColumn="0" w:firstRowLastColumn="0" w:lastRowFirstColumn="0" w:lastRowLastColumn="0"/>
            </w:pPr>
          </w:p>
        </w:tc>
      </w:tr>
    </w:tbl>
    <w:p w14:paraId="490FA7A4" w14:textId="77777777" w:rsidR="00962792" w:rsidRPr="00407F1D" w:rsidRDefault="00962792" w:rsidP="00962792">
      <w:pPr>
        <w:rPr>
          <w:lang w:val="en-AU" w:eastAsia="en-AU"/>
        </w:rPr>
      </w:pPr>
    </w:p>
    <w:p w14:paraId="789F21DB" w14:textId="77777777" w:rsidR="00D212C1" w:rsidRPr="00407F1D" w:rsidRDefault="00D212C1" w:rsidP="00962792">
      <w:pPr>
        <w:rPr>
          <w:lang w:val="en-AU" w:eastAsia="en-AU"/>
        </w:rPr>
        <w:sectPr w:rsidR="00D212C1" w:rsidRPr="00407F1D" w:rsidSect="002B5AEE">
          <w:headerReference w:type="default" r:id="rId20"/>
          <w:type w:val="continuous"/>
          <w:pgSz w:w="11900" w:h="16840"/>
          <w:pgMar w:top="1440" w:right="1440" w:bottom="1440" w:left="1440" w:header="333" w:footer="708" w:gutter="0"/>
          <w:cols w:space="4535"/>
          <w:titlePg/>
          <w:docGrid w:linePitch="360"/>
        </w:sectPr>
      </w:pPr>
    </w:p>
    <w:p w14:paraId="0BE2C240"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1C55F4F6" wp14:editId="28A35391">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1542D61D"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401CC73D"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2B144B8C"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44A31246"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3F00EE2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21BD4F7F"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769F823E"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60546CD2"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21DFAE80"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1D3621CB"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40BB328D"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688F21D6"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56120E0B"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0DB1AD24" w14:textId="77777777"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744BFC31"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2216D3E5"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60CBC7D7"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04BE602C"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167C1C07"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324BFA2E"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27C9950C"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B67BB22"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5582F605"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1C250299"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52E166D2"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2C326BD2"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255F0F7D"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Visita il </w:t>
      </w:r>
      <w:proofErr w:type="spellStart"/>
      <w:r w:rsidRPr="00407F1D">
        <w:rPr>
          <w:rFonts w:cs="Arial"/>
          <w:sz w:val="16"/>
          <w:szCs w:val="16"/>
        </w:rPr>
        <w:t>sito</w:t>
      </w:r>
      <w:proofErr w:type="spellEnd"/>
      <w:r w:rsidRPr="00407F1D">
        <w:rPr>
          <w:rFonts w:cs="Arial"/>
          <w:sz w:val="16"/>
          <w:szCs w:val="16"/>
        </w:rPr>
        <w:t>: www.tisnational.gov.au</w:t>
      </w:r>
    </w:p>
    <w:p w14:paraId="4AE1EABA"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2B5AEE">
      <w:headerReference w:type="first" r:id="rId22"/>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10EA" w14:textId="77777777" w:rsidR="002B5AEE" w:rsidRDefault="002B5AEE" w:rsidP="00BC5A00">
      <w:r>
        <w:separator/>
      </w:r>
    </w:p>
  </w:endnote>
  <w:endnote w:type="continuationSeparator" w:id="0">
    <w:p w14:paraId="0D1010EA" w14:textId="77777777" w:rsidR="002B5AEE" w:rsidRDefault="002B5AEE" w:rsidP="00BC5A00">
      <w:r>
        <w:continuationSeparator/>
      </w:r>
    </w:p>
  </w:endnote>
  <w:endnote w:type="continuationNotice" w:id="1">
    <w:p w14:paraId="1FD30CA9" w14:textId="77777777" w:rsidR="002B5AEE" w:rsidRDefault="002B5A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4217" w14:textId="77777777" w:rsidR="007E6611" w:rsidRDefault="007E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0440" w14:textId="629CB533" w:rsidR="00D85B45" w:rsidRDefault="00D85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3854"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1AFC" w14:textId="77777777" w:rsidR="002B5AEE" w:rsidRDefault="002B5AEE" w:rsidP="00BC5A00">
      <w:r>
        <w:separator/>
      </w:r>
    </w:p>
  </w:footnote>
  <w:footnote w:type="continuationSeparator" w:id="0">
    <w:p w14:paraId="7EB15EF9" w14:textId="77777777" w:rsidR="002B5AEE" w:rsidRDefault="002B5AEE" w:rsidP="00BC5A00">
      <w:r>
        <w:continuationSeparator/>
      </w:r>
    </w:p>
  </w:footnote>
  <w:footnote w:type="continuationNotice" w:id="1">
    <w:p w14:paraId="02F8B782" w14:textId="77777777" w:rsidR="002B5AEE" w:rsidRDefault="002B5A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061" w14:textId="77777777" w:rsidR="007E6611" w:rsidRDefault="007E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EndPr/>
    <w:sdtContent>
      <w:p w14:paraId="04F3E36A" w14:textId="77777777" w:rsidR="0089331B" w:rsidRDefault="00D0333E">
        <w:pPr>
          <w:pStyle w:val="Header"/>
        </w:pPr>
        <w:r>
          <w:rPr>
            <w:noProof/>
          </w:rPr>
          <mc:AlternateContent>
            <mc:Choice Requires="wps">
              <w:drawing>
                <wp:anchor distT="0" distB="0" distL="114300" distR="114300" simplePos="0" relativeHeight="251658240" behindDoc="0" locked="0" layoutInCell="0" allowOverlap="1" wp14:anchorId="6D9600E0" wp14:editId="2EAC758E">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1C44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arto="http://schemas.microsoft.com/office/word/2006/arto">
              <w:pict>
                <v:rect w14:anchorId="6D9600E0"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6281C44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16A8" w14:textId="77777777" w:rsidR="00BC5A00" w:rsidRDefault="001C133B" w:rsidP="00D85B45">
    <w:pPr>
      <w:pStyle w:val="Header"/>
      <w:tabs>
        <w:tab w:val="clear" w:pos="4513"/>
        <w:tab w:val="clear" w:pos="9026"/>
        <w:tab w:val="center" w:pos="5527"/>
      </w:tabs>
    </w:pPr>
    <w:r>
      <w:rPr>
        <w:noProof/>
      </w:rPr>
      <w:drawing>
        <wp:anchor distT="0" distB="0" distL="114300" distR="114300" simplePos="0" relativeHeight="251658242" behindDoc="1" locked="0" layoutInCell="1" allowOverlap="1" wp14:anchorId="1B0CF18D" wp14:editId="5A9B60B9">
          <wp:simplePos x="0" y="0"/>
          <wp:positionH relativeFrom="page">
            <wp:posOffset>2540</wp:posOffset>
          </wp:positionH>
          <wp:positionV relativeFrom="paragraph">
            <wp:posOffset>-200660</wp:posOffset>
          </wp:positionV>
          <wp:extent cx="7544887" cy="10677525"/>
          <wp:effectExtent l="0" t="0" r="0" b="3175"/>
          <wp:wrapNone/>
          <wp:docPr id="73167102" name="Picture 73167102" descr="A picture containing screenshot, text,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102" name="Picture 73167102" descr="A picture containing screenshot, text, rect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4887"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893464"/>
      <w:docPartObj>
        <w:docPartGallery w:val="Page Numbers (Margins)"/>
        <w:docPartUnique/>
      </w:docPartObj>
    </w:sdtPr>
    <w:sdtEndPr/>
    <w:sdtContent>
      <w:p w14:paraId="758CFB9F" w14:textId="77777777" w:rsidR="00BC67FC" w:rsidRDefault="00BC67FC">
        <w:pPr>
          <w:pStyle w:val="Header"/>
        </w:pPr>
        <w:r>
          <w:rPr>
            <w:noProof/>
          </w:rPr>
          <mc:AlternateContent>
            <mc:Choice Requires="wps">
              <w:drawing>
                <wp:anchor distT="0" distB="0" distL="114300" distR="114300" simplePos="0" relativeHeight="251658241" behindDoc="0" locked="0" layoutInCell="0" allowOverlap="1" wp14:anchorId="15DA8362" wp14:editId="7AEF08D6">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859BA"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arto="http://schemas.microsoft.com/office/word/2006/arto">
              <w:pict>
                <v:rect w14:anchorId="15DA8362" id="Rectangle 1" o:spid="_x0000_s1028" style="position:absolute;margin-left:13.3pt;margin-top:0;width:64.5pt;height:34.15pt;z-index:25166029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706859BA"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715D"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EC4DD1"/>
    <w:multiLevelType w:val="hybridMultilevel"/>
    <w:tmpl w:val="2E6C688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4E2E0842"/>
    <w:multiLevelType w:val="hybridMultilevel"/>
    <w:tmpl w:val="D4A08C5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532459"/>
    <w:multiLevelType w:val="hybridMultilevel"/>
    <w:tmpl w:val="6A5CBD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E1432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058AF"/>
    <w:multiLevelType w:val="multilevel"/>
    <w:tmpl w:val="66321DF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855624">
    <w:abstractNumId w:val="5"/>
  </w:num>
  <w:num w:numId="2" w16cid:durableId="1477182446">
    <w:abstractNumId w:val="1"/>
  </w:num>
  <w:num w:numId="3" w16cid:durableId="204946066">
    <w:abstractNumId w:val="10"/>
  </w:num>
  <w:num w:numId="4" w16cid:durableId="1922641627">
    <w:abstractNumId w:val="9"/>
  </w:num>
  <w:num w:numId="5" w16cid:durableId="1531455835">
    <w:abstractNumId w:val="2"/>
  </w:num>
  <w:num w:numId="6" w16cid:durableId="173804934">
    <w:abstractNumId w:val="4"/>
  </w:num>
  <w:num w:numId="7" w16cid:durableId="646860002">
    <w:abstractNumId w:val="3"/>
  </w:num>
  <w:num w:numId="8" w16cid:durableId="743647237">
    <w:abstractNumId w:val="6"/>
  </w:num>
  <w:num w:numId="9" w16cid:durableId="1229807859">
    <w:abstractNumId w:val="13"/>
  </w:num>
  <w:num w:numId="10" w16cid:durableId="1064984510">
    <w:abstractNumId w:val="14"/>
  </w:num>
  <w:num w:numId="11" w16cid:durableId="808202819">
    <w:abstractNumId w:val="0"/>
  </w:num>
  <w:num w:numId="12" w16cid:durableId="1810591675">
    <w:abstractNumId w:val="16"/>
  </w:num>
  <w:num w:numId="13" w16cid:durableId="1945383577">
    <w:abstractNumId w:val="12"/>
  </w:num>
  <w:num w:numId="14" w16cid:durableId="738745583">
    <w:abstractNumId w:val="15"/>
  </w:num>
  <w:num w:numId="15" w16cid:durableId="264769778">
    <w:abstractNumId w:val="11"/>
  </w:num>
  <w:num w:numId="16" w16cid:durableId="49231476">
    <w:abstractNumId w:val="7"/>
  </w:num>
  <w:num w:numId="17" w16cid:durableId="1168596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51BA8"/>
    <w:rsid w:val="000707A8"/>
    <w:rsid w:val="000A358D"/>
    <w:rsid w:val="000A3A0B"/>
    <w:rsid w:val="000B05CE"/>
    <w:rsid w:val="000B0660"/>
    <w:rsid w:val="000C7EDF"/>
    <w:rsid w:val="000D475E"/>
    <w:rsid w:val="000E039C"/>
    <w:rsid w:val="000E0C47"/>
    <w:rsid w:val="000F30D2"/>
    <w:rsid w:val="001063C3"/>
    <w:rsid w:val="00106A9E"/>
    <w:rsid w:val="00133AAC"/>
    <w:rsid w:val="00155249"/>
    <w:rsid w:val="001620E2"/>
    <w:rsid w:val="00184A30"/>
    <w:rsid w:val="00192787"/>
    <w:rsid w:val="00196FB0"/>
    <w:rsid w:val="001B4114"/>
    <w:rsid w:val="001C133B"/>
    <w:rsid w:val="001C18F1"/>
    <w:rsid w:val="001F0BB2"/>
    <w:rsid w:val="00205FC1"/>
    <w:rsid w:val="00211951"/>
    <w:rsid w:val="0024281D"/>
    <w:rsid w:val="00251E94"/>
    <w:rsid w:val="00256569"/>
    <w:rsid w:val="002B0B72"/>
    <w:rsid w:val="002B5AEE"/>
    <w:rsid w:val="002B665B"/>
    <w:rsid w:val="002C5EE6"/>
    <w:rsid w:val="002E1A44"/>
    <w:rsid w:val="002E29B7"/>
    <w:rsid w:val="002F2E06"/>
    <w:rsid w:val="002F3758"/>
    <w:rsid w:val="00302B60"/>
    <w:rsid w:val="003873DC"/>
    <w:rsid w:val="00387D90"/>
    <w:rsid w:val="003A44C3"/>
    <w:rsid w:val="003C3A42"/>
    <w:rsid w:val="003F03AD"/>
    <w:rsid w:val="00407F1D"/>
    <w:rsid w:val="004327A3"/>
    <w:rsid w:val="0043286F"/>
    <w:rsid w:val="00440010"/>
    <w:rsid w:val="00440E15"/>
    <w:rsid w:val="00482C9E"/>
    <w:rsid w:val="00493FE5"/>
    <w:rsid w:val="004E1812"/>
    <w:rsid w:val="004F0752"/>
    <w:rsid w:val="004F26C2"/>
    <w:rsid w:val="005029EC"/>
    <w:rsid w:val="00523479"/>
    <w:rsid w:val="00535E87"/>
    <w:rsid w:val="00545835"/>
    <w:rsid w:val="00550B4D"/>
    <w:rsid w:val="0057491A"/>
    <w:rsid w:val="0059046C"/>
    <w:rsid w:val="005E3D24"/>
    <w:rsid w:val="005E7330"/>
    <w:rsid w:val="005F54D4"/>
    <w:rsid w:val="00606FB0"/>
    <w:rsid w:val="0062446D"/>
    <w:rsid w:val="006251EF"/>
    <w:rsid w:val="00654C9F"/>
    <w:rsid w:val="006567B8"/>
    <w:rsid w:val="006628EF"/>
    <w:rsid w:val="00674630"/>
    <w:rsid w:val="006A0306"/>
    <w:rsid w:val="006A0A79"/>
    <w:rsid w:val="006A4E66"/>
    <w:rsid w:val="006C558B"/>
    <w:rsid w:val="00713940"/>
    <w:rsid w:val="00736658"/>
    <w:rsid w:val="00745359"/>
    <w:rsid w:val="0077049D"/>
    <w:rsid w:val="007C5219"/>
    <w:rsid w:val="007D584C"/>
    <w:rsid w:val="007E22D6"/>
    <w:rsid w:val="007E6611"/>
    <w:rsid w:val="007E6C59"/>
    <w:rsid w:val="007E78B3"/>
    <w:rsid w:val="00810316"/>
    <w:rsid w:val="00811E29"/>
    <w:rsid w:val="0081238B"/>
    <w:rsid w:val="00817967"/>
    <w:rsid w:val="00832FCD"/>
    <w:rsid w:val="00837014"/>
    <w:rsid w:val="00870C20"/>
    <w:rsid w:val="008753F2"/>
    <w:rsid w:val="0089331B"/>
    <w:rsid w:val="008A3C11"/>
    <w:rsid w:val="008A7EEB"/>
    <w:rsid w:val="008B58BE"/>
    <w:rsid w:val="00920C81"/>
    <w:rsid w:val="00921B88"/>
    <w:rsid w:val="00962792"/>
    <w:rsid w:val="009766F2"/>
    <w:rsid w:val="00992E9C"/>
    <w:rsid w:val="009B7E39"/>
    <w:rsid w:val="009E0E74"/>
    <w:rsid w:val="009E5860"/>
    <w:rsid w:val="009F6FB8"/>
    <w:rsid w:val="00A102DF"/>
    <w:rsid w:val="00A30817"/>
    <w:rsid w:val="00A35D6D"/>
    <w:rsid w:val="00A8355D"/>
    <w:rsid w:val="00AA747A"/>
    <w:rsid w:val="00AB27C2"/>
    <w:rsid w:val="00AB59C9"/>
    <w:rsid w:val="00AD5FB0"/>
    <w:rsid w:val="00B104E8"/>
    <w:rsid w:val="00B24624"/>
    <w:rsid w:val="00B26894"/>
    <w:rsid w:val="00B37A1E"/>
    <w:rsid w:val="00B41391"/>
    <w:rsid w:val="00B44CDE"/>
    <w:rsid w:val="00BA43F5"/>
    <w:rsid w:val="00BA608A"/>
    <w:rsid w:val="00BC5A00"/>
    <w:rsid w:val="00BC67FC"/>
    <w:rsid w:val="00BD017D"/>
    <w:rsid w:val="00BD0BD4"/>
    <w:rsid w:val="00BF0FBF"/>
    <w:rsid w:val="00BF63D3"/>
    <w:rsid w:val="00CA50B4"/>
    <w:rsid w:val="00CB13A3"/>
    <w:rsid w:val="00CC596C"/>
    <w:rsid w:val="00CC713C"/>
    <w:rsid w:val="00CE7183"/>
    <w:rsid w:val="00D0333E"/>
    <w:rsid w:val="00D06377"/>
    <w:rsid w:val="00D212C1"/>
    <w:rsid w:val="00D62F5D"/>
    <w:rsid w:val="00D63863"/>
    <w:rsid w:val="00D85B45"/>
    <w:rsid w:val="00D9561F"/>
    <w:rsid w:val="00DA2948"/>
    <w:rsid w:val="00DB3BA7"/>
    <w:rsid w:val="00DB724A"/>
    <w:rsid w:val="00DD7228"/>
    <w:rsid w:val="00DE0E28"/>
    <w:rsid w:val="00DE5987"/>
    <w:rsid w:val="00E05328"/>
    <w:rsid w:val="00E42E1E"/>
    <w:rsid w:val="00E468D7"/>
    <w:rsid w:val="00E640EA"/>
    <w:rsid w:val="00E83549"/>
    <w:rsid w:val="00E87E82"/>
    <w:rsid w:val="00E9336E"/>
    <w:rsid w:val="00EA3138"/>
    <w:rsid w:val="00EC0772"/>
    <w:rsid w:val="00EE1838"/>
    <w:rsid w:val="00F06854"/>
    <w:rsid w:val="00F16516"/>
    <w:rsid w:val="00F27BBA"/>
    <w:rsid w:val="00F37065"/>
    <w:rsid w:val="00F57713"/>
    <w:rsid w:val="00F64A61"/>
    <w:rsid w:val="00F71E8B"/>
    <w:rsid w:val="00F77BD8"/>
    <w:rsid w:val="00F95E5C"/>
    <w:rsid w:val="00F96A64"/>
    <w:rsid w:val="00FA1930"/>
    <w:rsid w:val="00FA3A79"/>
    <w:rsid w:val="00FA4CD8"/>
    <w:rsid w:val="00FE27B1"/>
    <w:rsid w:val="00FE6C41"/>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4374"/>
  <w14:defaultImageDpi w14:val="32767"/>
  <w15:chartTrackingRefBased/>
  <w15:docId w15:val="{656B392A-E41D-4009-8F16-2ED7192D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3"/>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3"/>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3"/>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E640EA"/>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40EA"/>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40EA"/>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40EA"/>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40EA"/>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0E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E640EA"/>
    <w:rPr>
      <w:rFonts w:ascii="Arial" w:hAnsi="Arial"/>
      <w:sz w:val="22"/>
    </w:rPr>
  </w:style>
  <w:style w:type="character" w:customStyle="1" w:styleId="Heading4Char">
    <w:name w:val="Heading 4 Char"/>
    <w:basedOn w:val="DefaultParagraphFont"/>
    <w:link w:val="Heading4"/>
    <w:uiPriority w:val="9"/>
    <w:semiHidden/>
    <w:rsid w:val="00E640E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640E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40E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40E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640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0EA"/>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1063C3"/>
    <w:rPr>
      <w:rFonts w:cs="Times New Roman"/>
      <w:i/>
      <w:iCs/>
    </w:rPr>
  </w:style>
  <w:style w:type="table" w:customStyle="1" w:styleId="Tablestyle1">
    <w:name w:val="Table style 1"/>
    <w:basedOn w:val="TableNormal"/>
    <w:uiPriority w:val="99"/>
    <w:rsid w:val="001063C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customStyle="1" w:styleId="Tabletext">
    <w:name w:val="Table text"/>
    <w:basedOn w:val="Normal"/>
    <w:qFormat/>
    <w:rsid w:val="001063C3"/>
    <w:pPr>
      <w:spacing w:before="20" w:after="20"/>
    </w:pPr>
    <w:rPr>
      <w:rFonts w:ascii="Arial Nova Light" w:eastAsia="Times New Roman" w:hAnsi="Arial Nova Light" w:cs="Times New Roman"/>
      <w:sz w:val="18"/>
      <w:szCs w:val="22"/>
      <w:lang w:val="en-AU"/>
    </w:rPr>
  </w:style>
  <w:style w:type="character" w:customStyle="1" w:styleId="ListParagraphChar">
    <w:name w:val="List Paragraph Char"/>
    <w:basedOn w:val="DefaultParagraphFont"/>
    <w:link w:val="ListParagraph"/>
    <w:uiPriority w:val="34"/>
    <w:locked/>
    <w:rsid w:val="004327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ousingchoicesaustralia.sharepoint.com/:b:/s/knowledge/EZoDsALbretYu6sw8pb0s4EBnrGSVpfkcvnUngGLZdeIKg?e=2O1qu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5FFB" w:rsidRDefault="00717DA9">
          <w:r w:rsidRPr="0012780A">
            <w:rPr>
              <w:rStyle w:val="PlaceholderText"/>
            </w:rPr>
            <w:t>[Title]</w:t>
          </w:r>
        </w:p>
      </w:docPartBody>
    </w:docPart>
    <w:docPart>
      <w:docPartPr>
        <w:name w:val="21045176336E43788211AEBFDA162CF9"/>
        <w:category>
          <w:name w:val="General"/>
          <w:gallery w:val="placeholder"/>
        </w:category>
        <w:types>
          <w:type w:val="bbPlcHdr"/>
        </w:types>
        <w:behaviors>
          <w:behavior w:val="content"/>
        </w:behaviors>
        <w:guid w:val="{6B579989-BDD5-4E15-87BE-B1DCB8ED04FC}"/>
      </w:docPartPr>
      <w:docPartBody>
        <w:p w:rsidR="004147B4" w:rsidRDefault="00AE5FFB">
          <w:r w:rsidRPr="0099366B">
            <w:rPr>
              <w:rStyle w:val="PlaceholderText"/>
            </w:rPr>
            <w:t>[HCA Department]</w:t>
          </w:r>
        </w:p>
      </w:docPartBody>
    </w:docPart>
    <w:docPart>
      <w:docPartPr>
        <w:name w:val="427508649A3E4D0981BA34AE0741F219"/>
        <w:category>
          <w:name w:val="General"/>
          <w:gallery w:val="placeholder"/>
        </w:category>
        <w:types>
          <w:type w:val="bbPlcHdr"/>
        </w:types>
        <w:behaviors>
          <w:behavior w:val="content"/>
        </w:behaviors>
        <w:guid w:val="{C7DCF5B2-3192-407F-9612-283A1DFDEBBE}"/>
      </w:docPartPr>
      <w:docPartBody>
        <w:p w:rsidR="004147B4" w:rsidRDefault="00AE5FFB">
          <w:r w:rsidRPr="0099366B">
            <w:rPr>
              <w:rStyle w:val="PlaceholderText"/>
            </w:rPr>
            <w:t>[Document Version]</w:t>
          </w:r>
        </w:p>
      </w:docPartBody>
    </w:docPart>
    <w:docPart>
      <w:docPartPr>
        <w:name w:val="0D74DFEE74324566978EF70020BA47FE"/>
        <w:category>
          <w:name w:val="General"/>
          <w:gallery w:val="placeholder"/>
        </w:category>
        <w:types>
          <w:type w:val="bbPlcHdr"/>
        </w:types>
        <w:behaviors>
          <w:behavior w:val="content"/>
        </w:behaviors>
        <w:guid w:val="{EA8FEC8E-0F25-40E5-9166-1E1EF9F9BBE4}"/>
      </w:docPartPr>
      <w:docPartBody>
        <w:p w:rsidR="004147B4" w:rsidRDefault="00AE5FFB">
          <w:r w:rsidRPr="0099366B">
            <w:rPr>
              <w:rStyle w:val="PlaceholderText"/>
            </w:rPr>
            <w:t>[Review Period]</w:t>
          </w:r>
        </w:p>
      </w:docPartBody>
    </w:docPart>
    <w:docPart>
      <w:docPartPr>
        <w:name w:val="9924662947C344158045984DA6FC9993"/>
        <w:category>
          <w:name w:val="General"/>
          <w:gallery w:val="placeholder"/>
        </w:category>
        <w:types>
          <w:type w:val="bbPlcHdr"/>
        </w:types>
        <w:behaviors>
          <w:behavior w:val="content"/>
        </w:behaviors>
        <w:guid w:val="{D58E91AF-312A-4F29-9520-FC9A735BEDF9}"/>
      </w:docPartPr>
      <w:docPartBody>
        <w:p w:rsidR="005A1695" w:rsidRDefault="00FD69E0">
          <w:r w:rsidRPr="00D4640D">
            <w:rPr>
              <w:rStyle w:val="PlaceholderText"/>
            </w:rPr>
            <w:t>[Publish Date]</w:t>
          </w:r>
        </w:p>
      </w:docPartBody>
    </w:docPart>
    <w:docPart>
      <w:docPartPr>
        <w:name w:val="FE80D6B790CF474A812DD51E1E54DEE0"/>
        <w:category>
          <w:name w:val="General"/>
          <w:gallery w:val="placeholder"/>
        </w:category>
        <w:types>
          <w:type w:val="bbPlcHdr"/>
        </w:types>
        <w:behaviors>
          <w:behavior w:val="content"/>
        </w:behaviors>
        <w:guid w:val="{BC19DF11-AA4C-40F0-B42F-A7B839002205}"/>
      </w:docPartPr>
      <w:docPartBody>
        <w:p w:rsidR="00FE65C7" w:rsidRDefault="00FD69E0">
          <w:pPr>
            <w:pStyle w:val="FE80D6B790CF474A812DD51E1E54DEE0"/>
          </w:pPr>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4147B4"/>
    <w:rsid w:val="004F72FF"/>
    <w:rsid w:val="005A1695"/>
    <w:rsid w:val="005E0671"/>
    <w:rsid w:val="00717DA9"/>
    <w:rsid w:val="00745359"/>
    <w:rsid w:val="00803969"/>
    <w:rsid w:val="00892FDE"/>
    <w:rsid w:val="008E00B8"/>
    <w:rsid w:val="00AE5FFB"/>
    <w:rsid w:val="00BE46DD"/>
    <w:rsid w:val="00C03625"/>
    <w:rsid w:val="00C03FDB"/>
    <w:rsid w:val="00CE159D"/>
    <w:rsid w:val="00FD69E0"/>
    <w:rsid w:val="00FE6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9E0"/>
    <w:rPr>
      <w:color w:val="808080"/>
    </w:rPr>
  </w:style>
  <w:style w:type="paragraph" w:customStyle="1" w:styleId="FE80D6B790CF474A812DD51E1E54DEE0">
    <w:name w:val="FE80D6B790CF474A812DD51E1E54DE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All</Value>
    </DocumentInfluence>
    <MonthlyShowcase xmlns="e6a1ff41-1602-428f-9ee7-425182238c6e">No</MonthlyShowcase>
    <ReviewDate xmlns="e6a1ff41-1602-428f-9ee7-425182238c6e">2026-11-30T13:00:00+00:00</ReviewDate>
    <DocStatus xmlns="e6a1ff41-1602-428f-9ee7-425182238c6e">Published</DocStatus>
    <HCADepartment xmlns="e6a1ff41-1602-428f-9ee7-425182238c6e" xmlns:xsi="http://www.w3.org/2001/XMLSchema-instance">National Operations</HCADepartment>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New national policy</DocComments>
    <PublishDate xmlns="e6a1ff41-1602-428f-9ee7-425182238c6e">2023-11-30T13:00:00+00:00</PublishDat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1.0</DocumentVersion>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Master Agreement</Value>
    </Contracts>
    <DocumentOwner xmlns="e6a1ff41-1602-428f-9ee7-425182238c6e">
      <UserInfo>
        <DisplayName/>
        <AccountId xsi:nil="true"/>
        <AccountType/>
      </UserInfo>
    </DocumentOwner>
    <ApplicableCompliance xmlns="e6a1ff41-1602-428f-9ee7-425182238c6e">
      <Value>The Registrar of Housing Agencies Victoria</Value>
    </ApplicableCompliance>
    <LastUpdated xmlns="e6a1ff41-1602-428f-9ee7-425182238c6e" xsi:nil="true"/>
    <ExecutiveDepartment xmlns="e6a1ff41-1602-428f-9ee7-425182238c6e" xsi:nil="true"/>
    <_dlc_DocId xmlns="e6a1ff41-1602-428f-9ee7-425182238c6e">KCENTRE-192251812-4013</_dlc_DocId>
    <_dlc_DocIdUrl xmlns="e6a1ff41-1602-428f-9ee7-425182238c6e">
      <Url>https://housingchoicesaustralia.sharepoint.com/sites/knowledge/_layouts/15/DocIdRedir.aspx?ID=KCENTRE-192251812-4013</Url>
      <Description>KCENTRE-192251812-4013</Description>
    </_dlc_DocIdUrl>
    <LikesCount xmlns="http://schemas.microsoft.com/sharepoint/v3" xsi:nil="true"/>
    <IntegrationApplied xmlns="e6a1ff41-1602-428f-9ee7-425182238c6e">Yes</IntegrationApplied>
    <ApplicableEntities xmlns="e6a1ff41-1602-428f-9ee7-425182238c6e">
      <Value>HCAL</Value>
      <Value>HCNSW</Value>
      <Value>HCT</Value>
      <Value>HCWA</Value>
      <Value>CHT</Value>
      <Value>HCSA</Value>
    </ApplicableEntities>
    <TaxCatchAll xmlns="e6a1ff41-1602-428f-9ee7-425182238c6e" xsi:nil="true"/>
    <Ratings xmlns="http://schemas.microsoft.com/sharepoint/v3" xsi:nil="true"/>
    <TaxKeywordTaxHTField xmlns="e6a1ff41-1602-428f-9ee7-425182238c6e"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Handbook_x002f_Package xmlns="e6a1ff41-1602-428f-9ee7-425182238c6e">
      <Value>N/A</Value>
    </Handbook_x002f_Package>
    <RatedBy xmlns="http://schemas.microsoft.com/sharepoint/v3">
      <UserInfo>
        <DisplayName/>
        <AccountId xsi:nil="true"/>
        <AccountType/>
      </UserInfo>
    </RatedBy>
    <Approval_x0020_Level0 xmlns="f3b525b9-d1ae-4d06-a8a3-f4f1f8c9f6b0">Management</Approval_x0020_Level0>
  </documentManagement>
</p:properties>
</file>

<file path=customXml/item5.xml><?xml version="1.0" encoding="utf-8"?>
<ct:contentTypeSchema xmlns:ct="http://schemas.microsoft.com/office/2006/metadata/contentType" xmlns:ma="http://schemas.microsoft.com/office/2006/metadata/properties/metaAttributes" ct:_="" ma:_="" ma:contentTypeName="National Policy" ma:contentTypeID="0x0101001540288E25360442B812606DB98572BD005E247B19B702F441BC48C163E8926B3E" ma:contentTypeVersion="44" ma:contentTypeDescription="" ma:contentTypeScope="" ma:versionID="2dda2e45717fbf54fac4218bc880f03d">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587cda77a8a00002413a693234bb598"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ma:readOnly="false">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4.xml><?xml version="1.0" encoding="utf-8"?>
<ds:datastoreItem xmlns:ds="http://schemas.openxmlformats.org/officeDocument/2006/customXml" ds:itemID="{108ADDE0-C89A-4A45-88A8-3D03CA8726F5}">
  <ds:schemaRef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e6a1ff41-1602-428f-9ee7-425182238c6e"/>
    <ds:schemaRef ds:uri="f3b525b9-d1ae-4d06-a8a3-f4f1f8c9f6b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23C1C2B-D999-40F2-A894-1DD2407D4AE9}"/>
</file>

<file path=customXml/itemProps6.xml><?xml version="1.0" encoding="utf-8"?>
<ds:datastoreItem xmlns:ds="http://schemas.openxmlformats.org/officeDocument/2006/customXml" ds:itemID="{BEE6AA51-9A43-49D0-B395-E698DC69C1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Insert title</vt:lpstr>
    </vt:vector>
  </TitlesOfParts>
  <Company/>
  <LinksUpToDate>false</LinksUpToDate>
  <CharactersWithSpaces>9965</CharactersWithSpaces>
  <SharedDoc>false</SharedDoc>
  <HLinks>
    <vt:vector size="6" baseType="variant">
      <vt:variant>
        <vt:i4>7667753</vt:i4>
      </vt:variant>
      <vt:variant>
        <vt:i4>0</vt:i4>
      </vt:variant>
      <vt:variant>
        <vt:i4>0</vt:i4>
      </vt:variant>
      <vt:variant>
        <vt:i4>5</vt:i4>
      </vt:variant>
      <vt:variant>
        <vt:lpwstr>https://housingchoicesaustralia.sharepoint.com/:b:/s/knowledge/EZoDsALbretYu6sw8pb0s4EBnrGSVpfkcvnUngGLZdeIKg?e=2O1quB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Commencing a Tenancy Policy</dc:title>
  <dc:subject/>
  <dc:creator>Megan Pichler</dc:creator>
  <cp:keywords/>
  <dc:description/>
  <cp:lastModifiedBy>Liz Waterhouse</cp:lastModifiedBy>
  <cp:revision>7</cp:revision>
  <cp:lastPrinted>2019-08-16T23:09:00Z</cp:lastPrinted>
  <dcterms:created xsi:type="dcterms:W3CDTF">2023-12-04T19:23:00Z</dcterms:created>
  <dcterms:modified xsi:type="dcterms:W3CDTF">2024-10-14T09:03:00Z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0x0101001540288E25360442B812606DB98572BD005E247B19B702F441BC48C163E8926B3E</vt:lpwstr>
  </property>
  <property fmtid="{D5CDD505-2E9C-101B-9397-08002B2CF9AE}" pid="3" name="_dlc_DocIdItemGuid">
    <vt:lpwstr>b787b8f3-6efe-4633-b0a5-20064f6e92bf</vt:lpwstr>
  </property>
  <property fmtid="{D5CDD505-2E9C-101B-9397-08002B2CF9AE}" pid="4" name="TaxKeyword">
    <vt:lpwstr/>
  </property>
</Properties>
</file>